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media/image2.png" ContentType="image/png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Override PartName="/customXml/item2.xml" ContentType="application/xml"/>
  <Override PartName="/customXml/itemProps4.xml" ContentType="application/vnd.openxmlformats-officedocument.customXmlProperties+xml"/>
  <Override PartName="/customXml/itemProps2.xml" ContentType="application/vnd.openxmlformats-officedocument.customXmlProperties+xml"/>
  <Override PartName="/customXml/item3.xml" ContentType="application/xml"/>
  <Override PartName="/customXml/item4.xml" ContentType="application/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_rels/item4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  <w:drawing>
          <wp:inline distT="0" distB="0" distL="0" distR="0">
            <wp:extent cx="5760720" cy="738505"/>
            <wp:effectExtent l="0" t="0" r="0" b="0"/>
            <wp:docPr id="1" name="Obraz 1" descr="C:\Users\MALGOR~1.ADA\AppData\Local\Temp\7zOC4FE8220\KPO_barwy RP_NextGenerationEU_poziom_zestawienie_podstawowe_ 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C:\Users\MALGOR~1.ADA\AppData\Local\Temp\7zOC4FE8220\KPO_barwy RP_NextGenerationEU_poziom_zestawienie_podstawowe_ RGB.jp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3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numPr>
          <w:ilvl w:val="0"/>
          <w:numId w:val="0"/>
        </w:numPr>
        <w:spacing w:lineRule="auto" w:line="300" w:before="240" w:after="120"/>
        <w:jc w:val="center"/>
        <w:outlineLvl w:val="0"/>
        <w:rPr>
          <w:rFonts w:ascii="Calibri" w:hAnsi="Calibri"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UMOWA nr …..</w:t>
      </w:r>
      <w:bookmarkStart w:id="0" w:name="_GoBack"/>
      <w:bookmarkEnd w:id="0"/>
    </w:p>
    <w:p>
      <w:pPr>
        <w:pStyle w:val="Normal"/>
        <w:rPr/>
      </w:pPr>
      <w:r>
        <w:rPr/>
        <w:t>zawarta w dniu ...................................... w ....................................................... pomiędzy:</w:t>
      </w:r>
    </w:p>
    <w:p>
      <w:pPr>
        <w:pStyle w:val="Normal"/>
        <w:jc w:val="left"/>
        <w:rPr/>
      </w:pPr>
      <w:r>
        <w:rPr/>
        <w:t>Panem / Panią ..............................................................................................................,</w:t>
      </w:r>
    </w:p>
    <w:p>
      <w:pPr>
        <w:pStyle w:val="Normal"/>
        <w:jc w:val="left"/>
        <w:rPr/>
      </w:pPr>
      <w:r>
        <w:rPr/>
        <w:t>adres zamieszkania ..............................................................................................................,</w:t>
      </w:r>
    </w:p>
    <w:p>
      <w:pPr>
        <w:pStyle w:val="Normal"/>
        <w:ind w:right="-46" w:hanging="0"/>
        <w:rPr/>
      </w:pPr>
      <w:r>
        <w:rPr/>
        <w:t>reprezentowanym/ą przez…………………………………………………</w:t>
      </w:r>
      <w:r>
        <w:rPr>
          <w:rStyle w:val="Zakotwiczenieprzypisudolnego"/>
        </w:rPr>
        <w:footnoteReference w:id="2"/>
      </w:r>
      <w:r>
        <w:rPr/>
        <w:t xml:space="preserve"> na podstawie ………………………………..…….</w:t>
      </w:r>
      <w:r>
        <w:rPr>
          <w:rStyle w:val="Zakotwiczenieprzypisudolnego"/>
        </w:rPr>
        <w:footnoteReference w:id="3"/>
      </w:r>
    </w:p>
    <w:p>
      <w:pPr>
        <w:pStyle w:val="Normal"/>
        <w:rPr/>
      </w:pPr>
      <w:r>
        <w:rPr/>
        <w:t xml:space="preserve">zwanym/-ą dalej </w:t>
      </w:r>
      <w:r>
        <w:rPr>
          <w:b/>
        </w:rPr>
        <w:t>Zamawiającym</w:t>
      </w:r>
      <w:r>
        <w:rPr/>
        <w:t>,</w:t>
      </w:r>
    </w:p>
    <w:p>
      <w:pPr>
        <w:pStyle w:val="Normal"/>
        <w:rPr/>
      </w:pPr>
      <w:r>
        <w:rPr/>
        <w:t>a</w:t>
      </w:r>
    </w:p>
    <w:p>
      <w:pPr>
        <w:pStyle w:val="Normal"/>
        <w:tabs>
          <w:tab w:val="clear" w:pos="708"/>
          <w:tab w:val="left" w:pos="142" w:leader="none"/>
        </w:tabs>
        <w:rPr/>
      </w:pPr>
      <w:r>
        <w:rPr/>
        <w:tab/>
        <w:t>..............................................................</w:t>
      </w:r>
      <w:r>
        <w:rPr>
          <w:rFonts w:cs="Arial" w:ascii="Arial" w:hAnsi="Arial"/>
          <w:i/>
          <w:iCs/>
          <w:spacing w:val="4"/>
        </w:rPr>
        <w:t xml:space="preserve"> </w:t>
      </w:r>
      <w:r>
        <w:rPr>
          <w:rFonts w:cs="Calibri" w:cstheme="minorHAnsi"/>
          <w:i/>
          <w:iCs/>
          <w:spacing w:val="4"/>
        </w:rPr>
        <w:t>(nazwa i forma prawna wykonawcy)</w:t>
      </w:r>
      <w:r>
        <w:rPr>
          <w:rFonts w:cs="Calibri" w:cstheme="minorHAnsi"/>
        </w:rPr>
        <w:t xml:space="preserve"> </w:t>
      </w:r>
      <w:r>
        <w:rPr/>
        <w:t>z siedzibą w ………………………………. ul. ..................................................................,  NIP: ........................................, wpisaną do rejestru przedsiębiorców prowadzonego przez Sąd Rejonowy w …………………………………., pod numerem KRS ……………………………………, o kapitale zakładowym w wysokości ………………..………… zł,</w:t>
      </w:r>
      <w:r>
        <w:rPr>
          <w:b/>
        </w:rPr>
        <w:t xml:space="preserve"> </w:t>
      </w:r>
    </w:p>
    <w:p>
      <w:pPr>
        <w:pStyle w:val="Normal"/>
        <w:ind w:right="-46" w:hanging="0"/>
        <w:rPr/>
      </w:pPr>
      <w:r>
        <w:rPr/>
        <w:t>reprezentowanym/ą przez………………………………………………… na podstawie …………………………………..…….</w:t>
      </w:r>
      <w:r>
        <w:rPr>
          <w:rStyle w:val="Zakotwiczenieprzypisudolnego"/>
        </w:rPr>
        <w:footnoteReference w:id="4"/>
      </w:r>
    </w:p>
    <w:p>
      <w:pPr>
        <w:pStyle w:val="Normal"/>
        <w:ind w:right="-46" w:hanging="0"/>
        <w:rPr/>
      </w:pPr>
      <w:r>
        <w:rPr/>
        <w:t>/</w:t>
      </w:r>
      <w:r>
        <w:rPr>
          <w:rStyle w:val="Zakotwiczenieprzypisudolnego"/>
        </w:rPr>
        <w:footnoteReference w:id="5"/>
      </w:r>
    </w:p>
    <w:p>
      <w:pPr>
        <w:pStyle w:val="Normal"/>
        <w:tabs>
          <w:tab w:val="clear" w:pos="708"/>
          <w:tab w:val="left" w:pos="0" w:leader="none"/>
        </w:tabs>
        <w:rPr/>
      </w:pPr>
      <w:r>
        <w:rPr/>
        <w:t xml:space="preserve"> </w:t>
      </w:r>
      <w:r>
        <w:rPr/>
        <w:t>..............................................................</w:t>
      </w:r>
      <w:r>
        <w:rPr>
          <w:rFonts w:cs="Arial" w:ascii="Arial" w:hAnsi="Arial"/>
          <w:i/>
          <w:iCs/>
          <w:spacing w:val="4"/>
        </w:rPr>
        <w:t xml:space="preserve"> </w:t>
      </w:r>
      <w:r>
        <w:rPr>
          <w:rFonts w:cs="Calibri" w:cstheme="minorHAnsi"/>
          <w:i/>
          <w:iCs/>
          <w:spacing w:val="4"/>
        </w:rPr>
        <w:t>(imię i nazwisko</w:t>
      </w:r>
      <w:r>
        <w:rPr>
          <w:rFonts w:cs="Arial" w:ascii="Arial" w:hAnsi="Arial"/>
          <w:i/>
          <w:iCs/>
          <w:spacing w:val="4"/>
        </w:rPr>
        <w:t xml:space="preserve">) </w:t>
      </w:r>
      <w:r>
        <w:rPr/>
        <w:t xml:space="preserve">zamieszkałym w ………………………………….., przy ul. ……………………..…….…………………., prowadzącym działalność gospodarczą zarejestrowaną w ewidencji działalności gospodarczej, pod nazwą …….…………………………………………………………..………,  NIP::…………………………………...., </w:t>
      </w:r>
    </w:p>
    <w:p>
      <w:pPr>
        <w:pStyle w:val="Normal"/>
        <w:rPr/>
      </w:pPr>
      <w:r>
        <w:rPr/>
        <w:t>reprezentowanym/ą przez ................................................................, na podstawie …………………………….</w:t>
      </w:r>
      <w:r>
        <w:rPr>
          <w:rStyle w:val="Zakotwiczenieprzypisudolnego"/>
        </w:rPr>
        <w:footnoteReference w:id="6"/>
      </w:r>
    </w:p>
    <w:p>
      <w:pPr>
        <w:pStyle w:val="Normal"/>
        <w:rPr/>
      </w:pPr>
      <w:r>
        <w:rPr/>
        <w:t>zwanym/ą dalej: „</w:t>
      </w:r>
      <w:r>
        <w:rPr>
          <w:b/>
        </w:rPr>
        <w:t>Wykonawcą</w:t>
      </w:r>
      <w:r>
        <w:rPr/>
        <w:t>”</w:t>
      </w:r>
    </w:p>
    <w:p>
      <w:pPr>
        <w:pStyle w:val="Normal"/>
        <w:rPr/>
      </w:pPr>
      <w:r>
        <w:rPr/>
        <w:t>zwane dalej: „</w:t>
      </w:r>
      <w:r>
        <w:rPr>
          <w:b/>
        </w:rPr>
        <w:t>Stronami</w:t>
      </w:r>
      <w:r>
        <w:rPr/>
        <w:t xml:space="preserve"> </w:t>
      </w:r>
      <w:r>
        <w:rPr>
          <w:b/>
        </w:rPr>
        <w:t>Umowy</w:t>
      </w:r>
      <w:r>
        <w:rPr/>
        <w:t>”</w:t>
      </w:r>
    </w:p>
    <w:p>
      <w:pPr>
        <w:pStyle w:val="ListParagraph"/>
        <w:keepNext w:val="true"/>
        <w:ind w:left="357" w:hanging="0"/>
        <w:jc w:val="center"/>
        <w:rPr>
          <w:b/>
        </w:rPr>
      </w:pPr>
      <w:r>
        <w:rPr>
          <w:b/>
        </w:rPr>
        <w:t>Oświadczenia</w:t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426" w:leader="none"/>
        </w:tabs>
        <w:ind w:left="284" w:hanging="284"/>
        <w:rPr/>
      </w:pPr>
      <w:r>
        <w:rPr/>
        <w:t>Zamawiający oświadcza, że zamierza realizować przedsięwzięcie w ramach programu priorytetowego „Czyste Powietrze”, podlegające dofinasowaniu w formie dotacji z prefinansowaniem.</w:t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426" w:leader="none"/>
        </w:tabs>
        <w:ind w:left="284" w:hanging="284"/>
        <w:rPr/>
      </w:pPr>
      <w:r>
        <w:rPr/>
        <w:t>Wykonawca oświadcza, że zgodnie z wymogami programu priorytetowego „Czyste Powietrze”:</w:t>
      </w:r>
    </w:p>
    <w:p>
      <w:pPr>
        <w:pStyle w:val="ListParagraph"/>
        <w:tabs>
          <w:tab w:val="clear" w:pos="708"/>
          <w:tab w:val="left" w:pos="426" w:leader="none"/>
        </w:tabs>
        <w:ind w:left="567" w:hanging="283"/>
        <w:rPr/>
      </w:pPr>
      <w:r>
        <w:rPr/>
        <w:t xml:space="preserve">a) działa na rynku usług budowlanych, remontowych lub montażowych przez co najmniej 1 rok, co znajduje potwierdzenie w danych zawartych w publicznym rejestrze przedsiębiorców wskazanym w oznaczeniu Wykonawcy w komparycji niniejszej Umowy </w:t>
      </w:r>
    </w:p>
    <w:p>
      <w:pPr>
        <w:pStyle w:val="ListParagraph"/>
        <w:tabs>
          <w:tab w:val="clear" w:pos="708"/>
          <w:tab w:val="left" w:pos="426" w:leader="none"/>
        </w:tabs>
        <w:ind w:left="567" w:hanging="283"/>
        <w:rPr/>
      </w:pPr>
      <w:r>
        <w:rPr/>
        <w:tab/>
        <w:tab/>
        <w:t>albo</w:t>
      </w:r>
    </w:p>
    <w:p>
      <w:pPr>
        <w:pStyle w:val="ListParagraph"/>
        <w:tabs>
          <w:tab w:val="clear" w:pos="708"/>
          <w:tab w:val="left" w:pos="426" w:leader="none"/>
        </w:tabs>
        <w:ind w:left="567" w:hanging="283"/>
        <w:rPr/>
      </w:pPr>
      <w:r>
        <w:rPr/>
        <w:t>b) posiada doświadczenie w realizacji co najmniej pięciu inwestycji dla Beneficjentów w Programie Priorytetowym „Czyste Powietrze”.</w:t>
      </w:r>
    </w:p>
    <w:p>
      <w:pPr>
        <w:pStyle w:val="ListParagraph"/>
        <w:keepNext w:val="true"/>
        <w:ind w:left="357" w:hanging="0"/>
        <w:rPr/>
      </w:pPr>
      <w:r>
        <w:rPr/>
      </w:r>
    </w:p>
    <w:p>
      <w:pPr>
        <w:pStyle w:val="ListParagraph"/>
        <w:keepNext w:val="true"/>
        <w:ind w:left="357" w:hanging="0"/>
        <w:jc w:val="center"/>
        <w:rPr>
          <w:b/>
        </w:rPr>
      </w:pPr>
      <w:r>
        <w:rPr>
          <w:b/>
        </w:rPr>
        <w:t>§ 1 Przedmiot umowy</w:t>
      </w:r>
    </w:p>
    <w:p>
      <w:pPr>
        <w:pStyle w:val="Annotationtext"/>
        <w:rPr>
          <w:sz w:val="22"/>
          <w:szCs w:val="22"/>
        </w:rPr>
      </w:pPr>
      <w:r>
        <w:rPr>
          <w:sz w:val="22"/>
          <w:szCs w:val="22"/>
        </w:rPr>
        <w:t>Wykonawca zobowiązuje się do sprzedaży/dostawy/ materiałów/urządzeń/ wykonania robót/usług/, w tym montażu/ uruchomienia urządzeń</w:t>
      </w:r>
      <w:r>
        <w:rPr>
          <w:rStyle w:val="Zakotwiczenieprzypisudolnego"/>
          <w:sz w:val="22"/>
          <w:szCs w:val="22"/>
        </w:rPr>
        <w:footnoteReference w:id="7"/>
      </w:r>
      <w:r>
        <w:rPr>
          <w:sz w:val="22"/>
          <w:szCs w:val="22"/>
        </w:rPr>
        <w:t>, zgodnie ze szczegółowym zakresem prac określonym poprzez zaznaczenie właściwych pól w tabeli poniżej</w:t>
      </w:r>
      <w:r>
        <w:rPr>
          <w:rStyle w:val="Zakotwiczenieprzypisudolnego"/>
          <w:sz w:val="22"/>
          <w:szCs w:val="22"/>
        </w:rPr>
        <w:footnoteReference w:id="8"/>
      </w:r>
      <w:r>
        <w:rPr>
          <w:sz w:val="22"/>
          <w:szCs w:val="22"/>
        </w:rPr>
        <w:t xml:space="preserve"> (dalej: „Przedmiot Umowy”), na rzecz Zamawiającego, w budynku mieszkalnym jednorodzinnym/ wydzielonym w budynku jednorodzinnym lokalu mieszkalnym, znajdującym się pod adresem  …................................................................., stanowiącym własność/współwłasność Zamawiającego</w:t>
      </w:r>
      <w:r>
        <w:rPr>
          <w:rStyle w:val="Zakotwiczenieprzypisudolnego"/>
          <w:sz w:val="22"/>
          <w:szCs w:val="22"/>
        </w:rPr>
        <w:footnoteReference w:id="9"/>
      </w:r>
      <w:r>
        <w:rPr>
          <w:sz w:val="22"/>
          <w:szCs w:val="22"/>
        </w:rPr>
        <w:t>. Zamontowane urządzenia, materiały muszą spełniać warunki Programu.</w:t>
      </w:r>
    </w:p>
    <w:p>
      <w:pPr>
        <w:pStyle w:val="Normal"/>
        <w:tabs>
          <w:tab w:val="clear" w:pos="708"/>
          <w:tab w:val="left" w:pos="2250" w:leader="none"/>
        </w:tabs>
        <w:rPr>
          <w:rFonts w:ascii="Calibri" w:hAnsi="Calibri" w:eastAsia="Calibri" w:asciiTheme="minorHAnsi" w:eastAsiaTheme="minorHAnsi" w:hAnsiTheme="minorHAnsi"/>
          <w:b/>
        </w:rPr>
      </w:pPr>
      <w:r>
        <w:rPr>
          <w:b/>
        </w:rPr>
        <w:t>I. Źródła ciepła, przyłącza, instalacje, wentylacja</w:t>
        <w:tab/>
        <w:tab/>
        <w:tab/>
        <w:tab/>
      </w:r>
    </w:p>
    <w:tbl>
      <w:tblPr>
        <w:tblStyle w:val="Tabela-Siatka"/>
        <w:tblW w:w="9209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03"/>
        <w:gridCol w:w="5955"/>
        <w:gridCol w:w="1417"/>
        <w:gridCol w:w="1133"/>
      </w:tblGrid>
      <w:tr>
        <w:trPr>
          <w:tblHeader w:val="true"/>
          <w:trHeight w:val="258" w:hRule="atLeast"/>
        </w:trPr>
        <w:tc>
          <w:tcPr>
            <w:tcW w:w="703" w:type="dxa"/>
            <w:tcBorders/>
            <w:shd w:color="auto" w:fill="E7E6E6" w:themeFill="background2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kern w:val="0"/>
                <w:sz w:val="16"/>
                <w:szCs w:val="16"/>
                <w:lang w:val="pl-PL" w:eastAsia="en-US" w:bidi="ar-SA"/>
              </w:rPr>
              <w:t>Dotyczy</w:t>
            </w:r>
          </w:p>
        </w:tc>
        <w:tc>
          <w:tcPr>
            <w:tcW w:w="5955" w:type="dxa"/>
            <w:tcBorders/>
            <w:shd w:color="auto" w:fill="E7E6E6" w:themeFill="background2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kern w:val="0"/>
                <w:sz w:val="16"/>
                <w:szCs w:val="16"/>
                <w:lang w:val="pl-PL" w:eastAsia="en-US" w:bidi="ar-SA"/>
              </w:rPr>
              <w:t>Elementy Przedmiotu Umowy</w:t>
            </w:r>
          </w:p>
        </w:tc>
        <w:tc>
          <w:tcPr>
            <w:tcW w:w="1417" w:type="dxa"/>
            <w:tcBorders/>
            <w:shd w:color="auto" w:fill="E7E6E6" w:themeFill="background2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kern w:val="0"/>
                <w:sz w:val="16"/>
                <w:szCs w:val="16"/>
                <w:lang w:val="pl-PL" w:eastAsia="en-US" w:bidi="ar-SA"/>
              </w:rPr>
              <w:t>Koszt brutto</w:t>
            </w:r>
          </w:p>
        </w:tc>
        <w:tc>
          <w:tcPr>
            <w:tcW w:w="1133" w:type="dxa"/>
            <w:tcBorders/>
            <w:shd w:color="auto" w:fill="E7E6E6" w:themeFill="background2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kern w:val="0"/>
                <w:sz w:val="16"/>
                <w:szCs w:val="16"/>
                <w:lang w:val="pl-PL" w:eastAsia="en-US" w:bidi="ar-SA"/>
              </w:rPr>
              <w:t>Koszt netto</w:t>
            </w:r>
          </w:p>
        </w:tc>
      </w:tr>
      <w:tr>
        <w:trPr>
          <w:trHeight w:val="139" w:hRule="atLeast"/>
        </w:trPr>
        <w:tc>
          <w:tcPr>
            <w:tcW w:w="703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  <w:drawing>
                <wp:anchor behindDoc="0" distT="0" distB="0" distL="0" distR="0" simplePos="0" locked="0" layoutInCell="1" allowOverlap="1" relativeHeight="3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10160</wp:posOffset>
                  </wp:positionV>
                  <wp:extent cx="186690" cy="183515"/>
                  <wp:effectExtent l="0" t="0" r="0" b="0"/>
                  <wp:wrapNone/>
                  <wp:docPr id="2" name="Obraz 2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2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955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rPr>
                <w:b/>
              </w:rPr>
            </w:pPr>
            <w:r>
              <w:rPr>
                <w:b/>
                <w:bCs/>
                <w:kern w:val="0"/>
                <w:sz w:val="16"/>
                <w:szCs w:val="16"/>
                <w:lang w:val="pl-PL" w:eastAsia="en-US" w:bidi="ar-SA"/>
              </w:rPr>
              <w:t xml:space="preserve">Podłączenie do sieci ciepłowniczej wraz z przyłączem </w:t>
            </w:r>
          </w:p>
        </w:tc>
        <w:tc>
          <w:tcPr>
            <w:tcW w:w="1417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325" w:hRule="atLeast"/>
        </w:trPr>
        <w:tc>
          <w:tcPr>
            <w:tcW w:w="703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5955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rPr>
                <w:bCs/>
                <w:sz w:val="16"/>
                <w:szCs w:val="16"/>
              </w:rPr>
            </w:pPr>
            <w:r>
              <w:rPr>
                <w:bCs/>
                <w:kern w:val="0"/>
                <w:sz w:val="16"/>
                <w:szCs w:val="16"/>
                <w:lang w:val="pl-PL" w:eastAsia="en-US" w:bidi="ar-SA"/>
              </w:rPr>
              <w:t>Zakup/montaż węzła cieplnego z programatorem temperatury, zbiornikiem akumulacyjnym/buforowym, zbiornikiem cwu z osprzętem, wraz z wykonaniem przyłącza od sieci ciepłowniczej do węzła cieplnego (w tym opłata przyłączeniowa).</w:t>
            </w:r>
          </w:p>
        </w:tc>
        <w:tc>
          <w:tcPr>
            <w:tcW w:w="1417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194" w:hRule="atLeast"/>
        </w:trPr>
        <w:tc>
          <w:tcPr>
            <w:tcW w:w="703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  <w:drawing>
                <wp:anchor behindDoc="0" distT="0" distB="0" distL="0" distR="0" simplePos="0" locked="0" layoutInCell="1" allowOverlap="1" relativeHeight="4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10160</wp:posOffset>
                  </wp:positionV>
                  <wp:extent cx="186690" cy="183515"/>
                  <wp:effectExtent l="0" t="0" r="0" b="0"/>
                  <wp:wrapNone/>
                  <wp:docPr id="3" name="Obraz 2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Obraz 2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955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rPr>
                <w:b/>
                <w:sz w:val="16"/>
                <w:szCs w:val="16"/>
              </w:rPr>
            </w:pPr>
            <w:r>
              <w:rPr>
                <w:b/>
                <w:kern w:val="0"/>
                <w:sz w:val="16"/>
                <w:szCs w:val="16"/>
                <w:lang w:val="pl-PL" w:eastAsia="en-US" w:bidi="ar-SA"/>
              </w:rPr>
              <w:t>Pompa ciepła powietrze/woda</w:t>
            </w:r>
          </w:p>
        </w:tc>
        <w:tc>
          <w:tcPr>
            <w:tcW w:w="1417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325" w:hRule="atLeast"/>
        </w:trPr>
        <w:tc>
          <w:tcPr>
            <w:tcW w:w="703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5955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bCs/>
                <w:kern w:val="0"/>
                <w:sz w:val="16"/>
                <w:szCs w:val="16"/>
                <w:lang w:val="pl-PL" w:eastAsia="en-US" w:bidi="ar-SA"/>
              </w:rPr>
              <w:t>Zakup</w:t>
            </w:r>
            <w:r>
              <w:rPr>
                <w:kern w:val="0"/>
                <w:sz w:val="16"/>
                <w:szCs w:val="16"/>
                <w:lang w:val="pl-PL" w:eastAsia="en-US" w:bidi="ar-SA"/>
              </w:rPr>
              <w:t>/montaż pompy ciepła typu powietrze/woda z osprzętem, zbiornikiem akumulacyjnym/buforowym, zbiornikiem cwu z osprzętem.</w:t>
            </w:r>
          </w:p>
        </w:tc>
        <w:tc>
          <w:tcPr>
            <w:tcW w:w="1417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160" w:hRule="atLeast"/>
        </w:trPr>
        <w:tc>
          <w:tcPr>
            <w:tcW w:w="703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  <w:drawing>
                <wp:anchor behindDoc="0" distT="0" distB="0" distL="0" distR="0" simplePos="0" locked="0" layoutInCell="1" allowOverlap="1" relativeHeight="5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12065</wp:posOffset>
                  </wp:positionV>
                  <wp:extent cx="186690" cy="183515"/>
                  <wp:effectExtent l="0" t="0" r="0" b="0"/>
                  <wp:wrapNone/>
                  <wp:docPr id="4" name="Obraz 2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Obraz 2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955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rPr>
                <w:b/>
                <w:sz w:val="16"/>
                <w:szCs w:val="16"/>
              </w:rPr>
            </w:pPr>
            <w:r>
              <w:rPr>
                <w:b/>
                <w:kern w:val="0"/>
                <w:sz w:val="16"/>
                <w:szCs w:val="16"/>
                <w:lang w:val="pl-PL" w:eastAsia="en-US" w:bidi="ar-SA"/>
              </w:rPr>
              <w:t>Pompa ciepła powietrze/woda o podwyższonej klasie efektywności energetycznej</w:t>
            </w:r>
          </w:p>
        </w:tc>
        <w:tc>
          <w:tcPr>
            <w:tcW w:w="1417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325" w:hRule="atLeast"/>
        </w:trPr>
        <w:tc>
          <w:tcPr>
            <w:tcW w:w="703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5955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  <w:t>Zakup/montaż pompy ciepła powietrze/woda z osprzętem, zbiornikiem akumulacyjnym/buforowym, zbiornikiem cwu z osprzętem.</w:t>
            </w:r>
          </w:p>
        </w:tc>
        <w:tc>
          <w:tcPr>
            <w:tcW w:w="1417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268" w:hRule="atLeast"/>
        </w:trPr>
        <w:tc>
          <w:tcPr>
            <w:tcW w:w="703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  <w:drawing>
                <wp:anchor behindDoc="0" distT="0" distB="0" distL="0" distR="0" simplePos="0" locked="0" layoutInCell="1" allowOverlap="1" relativeHeight="6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3175</wp:posOffset>
                  </wp:positionV>
                  <wp:extent cx="186690" cy="183515"/>
                  <wp:effectExtent l="0" t="0" r="0" b="0"/>
                  <wp:wrapNone/>
                  <wp:docPr id="5" name="Obraz 2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Obraz 2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955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b/>
                <w:kern w:val="0"/>
                <w:sz w:val="16"/>
                <w:szCs w:val="16"/>
                <w:lang w:val="pl-PL" w:eastAsia="en-US" w:bidi="ar-SA"/>
              </w:rPr>
              <w:t>Pompa ciepła powietrze/powietrze</w:t>
            </w:r>
          </w:p>
        </w:tc>
        <w:tc>
          <w:tcPr>
            <w:tcW w:w="1417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271" w:hRule="atLeast"/>
        </w:trPr>
        <w:tc>
          <w:tcPr>
            <w:tcW w:w="703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5955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  <w:t>Zakup/montaż pompy ciepła typu powietrze/powietrze z osprzętem.</w:t>
            </w:r>
          </w:p>
        </w:tc>
        <w:tc>
          <w:tcPr>
            <w:tcW w:w="1417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220" w:hRule="atLeast"/>
        </w:trPr>
        <w:tc>
          <w:tcPr>
            <w:tcW w:w="703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  <w:drawing>
                <wp:anchor behindDoc="0" distT="0" distB="0" distL="0" distR="0" simplePos="0" locked="0" layoutInCell="1" allowOverlap="1" relativeHeight="7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5080</wp:posOffset>
                  </wp:positionV>
                  <wp:extent cx="186690" cy="183515"/>
                  <wp:effectExtent l="0" t="0" r="0" b="0"/>
                  <wp:wrapNone/>
                  <wp:docPr id="6" name="Obraz 2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Obraz 2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955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rPr>
                <w:b/>
                <w:sz w:val="16"/>
                <w:szCs w:val="16"/>
              </w:rPr>
            </w:pPr>
            <w:r>
              <w:rPr>
                <w:b/>
                <w:kern w:val="0"/>
                <w:sz w:val="16"/>
                <w:szCs w:val="16"/>
                <w:lang w:val="pl-PL" w:eastAsia="en-US" w:bidi="ar-SA"/>
              </w:rPr>
              <w:t>Gruntowa pompa ciepła o podwyższonej klasie efektywności energetycznej</w:t>
            </w:r>
          </w:p>
        </w:tc>
        <w:tc>
          <w:tcPr>
            <w:tcW w:w="1417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325" w:hRule="atLeast"/>
        </w:trPr>
        <w:tc>
          <w:tcPr>
            <w:tcW w:w="703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5955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  <w:t>Zakup/montaż pompy ciepła grunt/woda, woda/woda z osprzętem, zbiornikiem akumulacyjnym/buforowym, zbiornikiem cwu z osprzętem.</w:t>
            </w:r>
          </w:p>
        </w:tc>
        <w:tc>
          <w:tcPr>
            <w:tcW w:w="1417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326" w:hRule="atLeast"/>
          <w:cantSplit w:val="true"/>
        </w:trPr>
        <w:tc>
          <w:tcPr>
            <w:tcW w:w="703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rFonts w:cs="Calibri" w:cstheme="minorHAnsi"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color w:val="000000"/>
                <w:kern w:val="0"/>
                <w:sz w:val="16"/>
                <w:szCs w:val="16"/>
                <w:lang w:val="pl-PL" w:eastAsia="en-US" w:bidi="ar-SA"/>
              </w:rPr>
              <w:drawing>
                <wp:anchor behindDoc="0" distT="0" distB="0" distL="0" distR="0" simplePos="0" locked="0" layoutInCell="1" allowOverlap="1" relativeHeight="8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5080</wp:posOffset>
                  </wp:positionV>
                  <wp:extent cx="186690" cy="183515"/>
                  <wp:effectExtent l="0" t="0" r="0" b="0"/>
                  <wp:wrapNone/>
                  <wp:docPr id="7" name="Obraz 19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Obraz 19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955" w:type="dxa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b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b/>
                <w:color w:val="000000"/>
                <w:kern w:val="0"/>
                <w:sz w:val="16"/>
                <w:szCs w:val="16"/>
                <w:lang w:val="pl-PL" w:eastAsia="en-US" w:bidi="ar-SA"/>
              </w:rPr>
              <w:t>Kocioł gazowy kondensacyjny</w:t>
            </w:r>
          </w:p>
        </w:tc>
        <w:tc>
          <w:tcPr>
            <w:tcW w:w="1417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color w:val="000000"/>
                <w:sz w:val="20"/>
                <w:szCs w:val="20"/>
              </w:rPr>
            </w:pPr>
            <w:r>
              <w:rPr>
                <w:rFonts w:cs="Calibri" w:cstheme="minorHAnsi"/>
                <w:color w:val="000000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color w:val="000000"/>
                <w:sz w:val="20"/>
                <w:szCs w:val="20"/>
              </w:rPr>
            </w:pPr>
            <w:r>
              <w:rPr>
                <w:rFonts w:cs="Calibri" w:cstheme="minorHAnsi"/>
                <w:color w:val="000000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325" w:hRule="atLeast"/>
          <w:cantSplit w:val="true"/>
        </w:trPr>
        <w:tc>
          <w:tcPr>
            <w:tcW w:w="703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rFonts w:cs="Calibri" w:cstheme="minorHAnsi"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color w:val="000000"/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5955" w:type="dxa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color w:val="000000"/>
                <w:kern w:val="0"/>
                <w:sz w:val="16"/>
                <w:szCs w:val="16"/>
                <w:lang w:val="pl-PL" w:eastAsia="en-US" w:bidi="ar-SA"/>
              </w:rPr>
              <w:t>Zakup/montaż kotła gazowego kondensacyjnego z osprzętem, sterowaniem, armaturą zabezpieczającą i regulującą, układem doprowadzenia powietrza i odprowadzenia spalin, zbiornikiem akumulacyjnym/buforowym, zbiornikiem cwu  z osprzętem, zbiornikiem na gaz</w:t>
            </w:r>
          </w:p>
        </w:tc>
        <w:tc>
          <w:tcPr>
            <w:tcW w:w="1417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b/>
                <w:color w:val="000000"/>
                <w:sz w:val="20"/>
                <w:szCs w:val="20"/>
              </w:rPr>
            </w:pPr>
            <w:r>
              <w:rPr>
                <w:rFonts w:cs="Calibri" w:cstheme="minorHAnsi"/>
                <w:b/>
                <w:color w:val="000000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b/>
                <w:color w:val="000000"/>
                <w:sz w:val="20"/>
                <w:szCs w:val="20"/>
              </w:rPr>
            </w:pPr>
            <w:r>
              <w:rPr>
                <w:rFonts w:cs="Calibri" w:cstheme="minorHAnsi"/>
                <w:b/>
                <w:color w:val="000000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326" w:hRule="atLeast"/>
        </w:trPr>
        <w:tc>
          <w:tcPr>
            <w:tcW w:w="703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  <w:drawing>
                <wp:anchor behindDoc="0" distT="0" distB="0" distL="0" distR="0" simplePos="0" locked="0" layoutInCell="1" allowOverlap="1" relativeHeight="9">
                  <wp:simplePos x="0" y="0"/>
                  <wp:positionH relativeFrom="column">
                    <wp:posOffset>-25400</wp:posOffset>
                  </wp:positionH>
                  <wp:positionV relativeFrom="paragraph">
                    <wp:posOffset>9525</wp:posOffset>
                  </wp:positionV>
                  <wp:extent cx="186690" cy="183515"/>
                  <wp:effectExtent l="0" t="0" r="0" b="0"/>
                  <wp:wrapNone/>
                  <wp:docPr id="8" name="Obraz 1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Obraz 1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955" w:type="dxa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b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b/>
                <w:color w:val="000000"/>
                <w:kern w:val="0"/>
                <w:sz w:val="16"/>
                <w:szCs w:val="16"/>
                <w:lang w:val="pl-PL" w:eastAsia="en-US" w:bidi="ar-SA"/>
              </w:rPr>
              <w:t>Kotłownia gazowa (przyłącze gazowe i instalacja wewnętrzna, kocioł gazowy kondensacyjny, opłata przyłączeniowa, dokumentacja projektowa). Dotyczy budynków, które nie są przyłączone do sieci dystrybucji gazu.</w:t>
            </w:r>
          </w:p>
        </w:tc>
        <w:tc>
          <w:tcPr>
            <w:tcW w:w="1417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325" w:hRule="atLeast"/>
        </w:trPr>
        <w:tc>
          <w:tcPr>
            <w:tcW w:w="703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5955" w:type="dxa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color w:val="000000"/>
                <w:kern w:val="0"/>
                <w:sz w:val="16"/>
                <w:szCs w:val="16"/>
                <w:lang w:val="pl-PL" w:eastAsia="en-US" w:bidi="ar-SA"/>
              </w:rPr>
              <w:t>Wykonanie przyłącza gazowego i instalacji od przyłącza do kotła, w tym koszt opłaty przyłączeniowej. Zakup/montaż kotła gazowego kondensacyjnego z osprzętem, sterowaniem, armaturą zabezpieczającą i regulującą, układem doprowadzenia powietrza i odprowadzenia spalin, zbiornikiem akumulacyjnym/buforowym, zbiornikiem cwu z osprzętem; Wykonanie niezbędnej dokumentacji projektowej.</w:t>
            </w:r>
          </w:p>
        </w:tc>
        <w:tc>
          <w:tcPr>
            <w:tcW w:w="1417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326" w:hRule="atLeast"/>
        </w:trPr>
        <w:tc>
          <w:tcPr>
            <w:tcW w:w="703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  <w:drawing>
                <wp:anchor behindDoc="0" distT="0" distB="0" distL="0" distR="0" simplePos="0" locked="0" layoutInCell="1" allowOverlap="1" relativeHeight="10">
                  <wp:simplePos x="0" y="0"/>
                  <wp:positionH relativeFrom="column">
                    <wp:posOffset>-27305</wp:posOffset>
                  </wp:positionH>
                  <wp:positionV relativeFrom="paragraph">
                    <wp:posOffset>2540</wp:posOffset>
                  </wp:positionV>
                  <wp:extent cx="186690" cy="183515"/>
                  <wp:effectExtent l="0" t="0" r="0" b="0"/>
                  <wp:wrapNone/>
                  <wp:docPr id="9" name="Obraz 1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Obraz 1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955" w:type="dxa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b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b/>
                <w:color w:val="000000"/>
                <w:kern w:val="0"/>
                <w:sz w:val="16"/>
                <w:szCs w:val="16"/>
                <w:lang w:val="pl-PL" w:eastAsia="en-US" w:bidi="ar-SA"/>
              </w:rPr>
              <w:t>Kocioł olejowy kondensacyjny</w:t>
            </w:r>
          </w:p>
        </w:tc>
        <w:tc>
          <w:tcPr>
            <w:tcW w:w="1417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325" w:hRule="atLeast"/>
        </w:trPr>
        <w:tc>
          <w:tcPr>
            <w:tcW w:w="703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5955" w:type="dxa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color w:val="000000"/>
                <w:kern w:val="0"/>
                <w:sz w:val="16"/>
                <w:szCs w:val="16"/>
                <w:lang w:val="pl-PL" w:eastAsia="en-US" w:bidi="ar-SA"/>
              </w:rPr>
              <w:t>Zakup/montaż kotła olejowego kondensacyjnego z osprzętem, sterowaniem, armaturą zabezpieczającą i regulującą, układem doprowadzenia powietrza i odprowadzenia spalin, zbiornikiem akumulacyjnym/buforowym, zbiornikiem cwu  z osprzętem, zbiornikiem na olej.</w:t>
            </w:r>
          </w:p>
        </w:tc>
        <w:tc>
          <w:tcPr>
            <w:tcW w:w="1417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326" w:hRule="atLeast"/>
        </w:trPr>
        <w:tc>
          <w:tcPr>
            <w:tcW w:w="703" w:type="dxa"/>
            <w:vMerge w:val="restart"/>
            <w:tcBorders/>
            <w:shd w:color="auto" w:fill="auto" w:val="clear"/>
          </w:tcPr>
          <w:p>
            <w:pPr>
              <w:pStyle w:val="Normal"/>
              <w:keepNext w:val="true"/>
              <w:keepLines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  <w:drawing>
                <wp:anchor behindDoc="0" distT="0" distB="0" distL="0" distR="0" simplePos="0" locked="0" layoutInCell="1" allowOverlap="1" relativeHeight="11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8890</wp:posOffset>
                  </wp:positionV>
                  <wp:extent cx="186690" cy="183515"/>
                  <wp:effectExtent l="0" t="0" r="0" b="0"/>
                  <wp:wrapNone/>
                  <wp:docPr id="10" name="Obraz 1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Obraz 1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955" w:type="dxa"/>
            <w:tcBorders/>
            <w:shd w:color="auto" w:fill="auto" w:val="clear"/>
            <w:vAlign w:val="center"/>
          </w:tcPr>
          <w:p>
            <w:pPr>
              <w:pStyle w:val="Normal"/>
              <w:keepNext w:val="true"/>
              <w:keepLines/>
              <w:widowControl/>
              <w:spacing w:lineRule="auto" w:line="240" w:before="0" w:after="0"/>
              <w:rPr>
                <w:rFonts w:cs="Calibri" w:cstheme="minorHAnsi"/>
                <w:b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b/>
                <w:color w:val="000000"/>
                <w:kern w:val="0"/>
                <w:sz w:val="16"/>
                <w:szCs w:val="16"/>
                <w:lang w:val="pl-PL" w:eastAsia="en-US" w:bidi="ar-SA"/>
              </w:rPr>
              <w:t>Kocioł zgazowujący drewno*</w:t>
            </w:r>
          </w:p>
        </w:tc>
        <w:tc>
          <w:tcPr>
            <w:tcW w:w="1417" w:type="dxa"/>
            <w:vMerge w:val="restart"/>
            <w:tcBorders/>
            <w:shd w:color="auto" w:fill="auto" w:val="clear"/>
          </w:tcPr>
          <w:p>
            <w:pPr>
              <w:pStyle w:val="Normal"/>
              <w:keepNext w:val="true"/>
              <w:keepLines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restart"/>
            <w:tcBorders/>
          </w:tcPr>
          <w:p>
            <w:pPr>
              <w:pStyle w:val="Normal"/>
              <w:keepNext w:val="true"/>
              <w:keepLines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325" w:hRule="atLeast"/>
        </w:trPr>
        <w:tc>
          <w:tcPr>
            <w:tcW w:w="703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keepNext w:val="true"/>
              <w:keepLines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5955" w:type="dxa"/>
            <w:tcBorders/>
            <w:shd w:color="auto" w:fill="auto" w:val="clear"/>
            <w:vAlign w:val="center"/>
          </w:tcPr>
          <w:p>
            <w:pPr>
              <w:pStyle w:val="Normal"/>
              <w:keepNext w:val="true"/>
              <w:keepLines/>
              <w:widowControl/>
              <w:spacing w:lineRule="auto" w:line="240" w:before="0" w:after="0"/>
              <w:rPr>
                <w:rFonts w:cs="Calibri" w:cstheme="minorHAnsi"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color w:val="000000"/>
                <w:kern w:val="0"/>
                <w:sz w:val="16"/>
                <w:szCs w:val="16"/>
                <w:lang w:val="pl-PL" w:eastAsia="en-US" w:bidi="ar-SA"/>
              </w:rPr>
              <w:t>Zakup/montaż kotła zgazowującego drewno z osprzętem, armaturą zabezpieczającą i regulującą, układem doprowadzenia powietrza i odprowadzenia spalin, zbiornikiem akumulacyjnym/buforowym, zbiornikiem cwu z osprzętem.</w:t>
            </w:r>
          </w:p>
          <w:p>
            <w:pPr>
              <w:pStyle w:val="Normal"/>
              <w:keepNext w:val="true"/>
              <w:keepLines/>
              <w:widowControl/>
              <w:spacing w:lineRule="auto" w:line="240" w:before="0" w:after="0"/>
              <w:rPr>
                <w:rFonts w:cs="Calibri" w:cstheme="minorHAnsi"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color w:val="000000"/>
                <w:kern w:val="0"/>
                <w:sz w:val="16"/>
                <w:szCs w:val="16"/>
                <w:lang w:val="pl-PL" w:eastAsia="en-US" w:bidi="ar-SA"/>
              </w:rPr>
              <w:t>* Koszt kwalifikowany pod warunkiem złożenia wniosku o dofinansowanie obejmującego ten koszt oraz zakupu (wystawienie faktury lub równoważnego dokumentu księgowego) i montażu kotła do 30 czerwca 2023 r.</w:t>
            </w:r>
          </w:p>
        </w:tc>
        <w:tc>
          <w:tcPr>
            <w:tcW w:w="1417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keepNext w:val="true"/>
              <w:keepLines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continue"/>
            <w:tcBorders/>
          </w:tcPr>
          <w:p>
            <w:pPr>
              <w:pStyle w:val="Normal"/>
              <w:keepNext w:val="true"/>
              <w:keepLines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326" w:hRule="atLeast"/>
        </w:trPr>
        <w:tc>
          <w:tcPr>
            <w:tcW w:w="703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  <w:drawing>
                <wp:anchor behindDoc="0" distT="0" distB="0" distL="0" distR="0" simplePos="0" locked="0" layoutInCell="1" allowOverlap="1" relativeHeight="12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5080</wp:posOffset>
                  </wp:positionV>
                  <wp:extent cx="186690" cy="183515"/>
                  <wp:effectExtent l="0" t="0" r="0" b="0"/>
                  <wp:wrapNone/>
                  <wp:docPr id="11" name="Obraz 9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Obraz 9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955" w:type="dxa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b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b/>
                <w:color w:val="000000"/>
                <w:kern w:val="0"/>
                <w:sz w:val="16"/>
                <w:szCs w:val="16"/>
                <w:lang w:val="pl-PL" w:eastAsia="en-US" w:bidi="ar-SA"/>
              </w:rPr>
              <w:t>Kocioł zgazowujący drewno o podwyższonym standardzie</w:t>
            </w:r>
          </w:p>
        </w:tc>
        <w:tc>
          <w:tcPr>
            <w:tcW w:w="1417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325" w:hRule="atLeast"/>
        </w:trPr>
        <w:tc>
          <w:tcPr>
            <w:tcW w:w="703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5955" w:type="dxa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color w:val="000000"/>
                <w:kern w:val="0"/>
                <w:sz w:val="16"/>
                <w:szCs w:val="16"/>
                <w:lang w:val="pl-PL" w:eastAsia="en-US" w:bidi="ar-SA"/>
              </w:rPr>
              <w:t xml:space="preserve">Zakup/montaż kotła zgazowującego drewno </w:t>
            </w:r>
            <w:r>
              <w:rPr>
                <w:rFonts w:cs="Calibri" w:cstheme="minorHAnsi"/>
                <w:b/>
                <w:color w:val="000000"/>
                <w:kern w:val="0"/>
                <w:sz w:val="16"/>
                <w:szCs w:val="16"/>
                <w:lang w:val="pl-PL" w:eastAsia="en-US" w:bidi="ar-SA"/>
              </w:rPr>
              <w:t>o obniżonej emisyjności cząstek stałych o wartości ≤ 20 mg/m</w:t>
            </w:r>
            <w:r>
              <w:rPr>
                <w:rFonts w:cs="Calibri" w:cstheme="minorHAnsi"/>
                <w:b/>
                <w:color w:val="000000"/>
                <w:kern w:val="0"/>
                <w:sz w:val="16"/>
                <w:szCs w:val="16"/>
                <w:vertAlign w:val="superscript"/>
                <w:lang w:val="pl-PL" w:eastAsia="en-US" w:bidi="ar-SA"/>
              </w:rPr>
              <w:t>3</w:t>
            </w:r>
            <w:r>
              <w:rPr>
                <w:rFonts w:cs="Calibri" w:cstheme="minorHAnsi"/>
                <w:color w:val="000000"/>
                <w:kern w:val="0"/>
                <w:sz w:val="16"/>
                <w:szCs w:val="16"/>
                <w:vertAlign w:val="superscript"/>
                <w:lang w:val="pl-PL" w:eastAsia="en-US" w:bidi="ar-SA"/>
              </w:rPr>
              <w:t xml:space="preserve"> </w:t>
            </w:r>
            <w:r>
              <w:rPr>
                <w:rFonts w:cs="Calibri" w:cstheme="minorHAnsi"/>
                <w:color w:val="000000"/>
                <w:kern w:val="0"/>
                <w:sz w:val="16"/>
                <w:szCs w:val="16"/>
                <w:lang w:val="pl-PL" w:eastAsia="en-US" w:bidi="ar-SA"/>
              </w:rPr>
              <w:t>(w odniesieniu do suchych spalin w temp. 0°C, 1013 mbar przy O2=10%)</w:t>
            </w:r>
            <w:r>
              <w:rPr>
                <w:rFonts w:cs="Calibri" w:cstheme="minorHAnsi"/>
                <w:color w:val="000000"/>
                <w:kern w:val="0"/>
                <w:sz w:val="16"/>
                <w:szCs w:val="16"/>
                <w:vertAlign w:val="superscript"/>
                <w:lang w:val="pl-PL" w:eastAsia="en-US" w:bidi="ar-SA"/>
              </w:rPr>
              <w:t xml:space="preserve"> </w:t>
            </w:r>
            <w:r>
              <w:rPr>
                <w:rFonts w:cs="Calibri" w:cstheme="minorHAnsi"/>
                <w:color w:val="000000"/>
                <w:kern w:val="0"/>
                <w:sz w:val="16"/>
                <w:szCs w:val="16"/>
                <w:lang w:val="pl-PL" w:eastAsia="en-US" w:bidi="ar-SA"/>
              </w:rPr>
              <w:t>z osprzętem, armaturą zabezpieczającą i regulującą, układem doprowadzenia powietrza i odprowadzenia spalin w tym budową nowego komina, zbiornikiem akumulacyjnym/buforowym, zbiornikiem cwu z osprzętem.</w:t>
            </w:r>
          </w:p>
        </w:tc>
        <w:tc>
          <w:tcPr>
            <w:tcW w:w="1417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234" w:hRule="atLeast"/>
        </w:trPr>
        <w:tc>
          <w:tcPr>
            <w:tcW w:w="703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  <w:drawing>
                <wp:anchor behindDoc="0" distT="0" distB="0" distL="0" distR="0" simplePos="0" locked="0" layoutInCell="1" allowOverlap="1" relativeHeight="13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11430</wp:posOffset>
                  </wp:positionV>
                  <wp:extent cx="186690" cy="183515"/>
                  <wp:effectExtent l="0" t="0" r="0" b="0"/>
                  <wp:wrapNone/>
                  <wp:docPr id="12" name="Obraz 1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Obraz 1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955" w:type="dxa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b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b/>
                <w:color w:val="000000"/>
                <w:kern w:val="0"/>
                <w:sz w:val="16"/>
                <w:szCs w:val="16"/>
                <w:lang w:val="pl-PL" w:eastAsia="en-US" w:bidi="ar-SA"/>
              </w:rPr>
              <w:t>Kocioł na pellet drzewny*</w:t>
            </w:r>
          </w:p>
        </w:tc>
        <w:tc>
          <w:tcPr>
            <w:tcW w:w="1417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407" w:hRule="atLeast"/>
        </w:trPr>
        <w:tc>
          <w:tcPr>
            <w:tcW w:w="703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5955" w:type="dxa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color w:val="000000"/>
                <w:kern w:val="0"/>
                <w:sz w:val="16"/>
                <w:szCs w:val="16"/>
                <w:lang w:val="pl-PL" w:eastAsia="en-US" w:bidi="ar-SA"/>
              </w:rPr>
              <w:t>Zakup/montaż kotła na pellet drzewny z automatycznym sposobem podawania paliwa z osprzętem, armaturą zabezpieczającą i regulującą, układem doprowadzenia powietrza i odprowadzenia spalin, zbiornikiem akumulacyjnym/buforowym, zbiornikiem cwu z osprzętem.</w:t>
            </w:r>
          </w:p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color w:val="000000"/>
                <w:kern w:val="0"/>
                <w:sz w:val="16"/>
                <w:szCs w:val="16"/>
                <w:lang w:val="pl-PL" w:eastAsia="en-US" w:bidi="ar-SA"/>
              </w:rPr>
              <w:t>*Koszt kwalifikowany pod warunkiem złożenia wniosku o dofinansowanie obejmującego ten koszt oraz zakupu (wystawienie faktury lub równoważnego dokumentu księgowego) i montażu kotła do 30 czerwca 2023 r.</w:t>
            </w:r>
          </w:p>
        </w:tc>
        <w:tc>
          <w:tcPr>
            <w:tcW w:w="1417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326" w:hRule="atLeast"/>
        </w:trPr>
        <w:tc>
          <w:tcPr>
            <w:tcW w:w="703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  <w:drawing>
                <wp:anchor behindDoc="0" distT="0" distB="0" distL="0" distR="0" simplePos="0" locked="0" layoutInCell="1" allowOverlap="1" relativeHeight="14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5080</wp:posOffset>
                  </wp:positionV>
                  <wp:extent cx="186690" cy="183515"/>
                  <wp:effectExtent l="0" t="0" r="0" b="0"/>
                  <wp:wrapNone/>
                  <wp:docPr id="13" name="Obraz 1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Obraz 1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955" w:type="dxa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b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b/>
                <w:color w:val="000000"/>
                <w:kern w:val="0"/>
                <w:sz w:val="16"/>
                <w:szCs w:val="16"/>
                <w:lang w:val="pl-PL" w:eastAsia="en-US" w:bidi="ar-SA"/>
              </w:rPr>
              <w:t>Kocioł na pellet drzewny o podwyższonym standardzie</w:t>
            </w:r>
          </w:p>
        </w:tc>
        <w:tc>
          <w:tcPr>
            <w:tcW w:w="1417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325" w:hRule="atLeast"/>
        </w:trPr>
        <w:tc>
          <w:tcPr>
            <w:tcW w:w="703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5955" w:type="dxa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color w:val="000000"/>
                <w:kern w:val="0"/>
                <w:sz w:val="16"/>
                <w:szCs w:val="16"/>
                <w:lang w:val="pl-PL" w:eastAsia="en-US" w:bidi="ar-SA"/>
              </w:rPr>
              <w:t xml:space="preserve">Zakup/montaż kotła na pellet drzewny z automatycznym sposobem podawania paliwa, o obniżonej emisyjności cząstek stałych o wartości ≤ 20 mg/m3 </w:t>
            </w:r>
          </w:p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color w:val="000000"/>
                <w:kern w:val="0"/>
                <w:sz w:val="16"/>
                <w:szCs w:val="16"/>
                <w:lang w:val="pl-PL" w:eastAsia="en-US" w:bidi="ar-SA"/>
              </w:rPr>
              <w:t xml:space="preserve"> </w:t>
            </w:r>
            <w:r>
              <w:rPr>
                <w:rFonts w:cs="Calibri" w:cstheme="minorHAnsi"/>
                <w:color w:val="000000"/>
                <w:kern w:val="0"/>
                <w:sz w:val="16"/>
                <w:szCs w:val="16"/>
                <w:lang w:val="pl-PL" w:eastAsia="en-US" w:bidi="ar-SA"/>
              </w:rPr>
              <w:t>(W odniesieniu do suchych spalin w temp. 0°C, 1013 mbar przy O2=10%) z osprzętem, armaturą zabezpieczającą i regulującą, układem doprowadzenia powietrza i odprowadzenia spalin, zbiornikiem akumulacyjnym/buforowym, zbiornikiem cwu z osprzętem.</w:t>
            </w:r>
          </w:p>
        </w:tc>
        <w:tc>
          <w:tcPr>
            <w:tcW w:w="1417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296" w:hRule="atLeast"/>
        </w:trPr>
        <w:tc>
          <w:tcPr>
            <w:tcW w:w="703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  <w:drawing>
                <wp:anchor behindDoc="0" distT="0" distB="0" distL="0" distR="0" simplePos="0" locked="0" layoutInCell="1" allowOverlap="1" relativeHeight="15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7620</wp:posOffset>
                  </wp:positionV>
                  <wp:extent cx="186690" cy="183515"/>
                  <wp:effectExtent l="0" t="0" r="0" b="0"/>
                  <wp:wrapNone/>
                  <wp:docPr id="14" name="Obraz 1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Obraz 1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955" w:type="dxa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b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b/>
                <w:color w:val="000000"/>
                <w:kern w:val="0"/>
                <w:sz w:val="16"/>
                <w:szCs w:val="16"/>
                <w:lang w:val="pl-PL" w:eastAsia="en-US" w:bidi="ar-SA"/>
              </w:rPr>
              <w:t>Ogrzewanie elektryczne</w:t>
            </w:r>
          </w:p>
        </w:tc>
        <w:tc>
          <w:tcPr>
            <w:tcW w:w="1417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407" w:hRule="atLeast"/>
        </w:trPr>
        <w:tc>
          <w:tcPr>
            <w:tcW w:w="703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5955" w:type="dxa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color w:val="000000"/>
                <w:kern w:val="0"/>
                <w:sz w:val="16"/>
                <w:szCs w:val="16"/>
                <w:lang w:val="pl-PL" w:eastAsia="en-US" w:bidi="ar-SA"/>
              </w:rPr>
              <w:t>Zakup/montaż urządzenia grzewczego elektrycznego (innego niż pompa ciepła), materiałów instalacyjnych wchodzących w skład systemu ogrzewania elektrycznego, zbiornika akumulacyjnego/buforowego, zbiornika cwu z osprzętem.</w:t>
            </w:r>
          </w:p>
        </w:tc>
        <w:tc>
          <w:tcPr>
            <w:tcW w:w="1417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407" w:hRule="atLeast"/>
        </w:trPr>
        <w:tc>
          <w:tcPr>
            <w:tcW w:w="703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  <w:drawing>
                <wp:anchor behindDoc="0" distT="0" distB="0" distL="0" distR="0" simplePos="0" locked="0" layoutInCell="1" allowOverlap="1" relativeHeight="16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10160</wp:posOffset>
                  </wp:positionV>
                  <wp:extent cx="186690" cy="183515"/>
                  <wp:effectExtent l="0" t="0" r="0" b="0"/>
                  <wp:wrapNone/>
                  <wp:docPr id="15" name="Obraz 1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Obraz 1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955" w:type="dxa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b/>
                <w:sz w:val="16"/>
                <w:szCs w:val="16"/>
              </w:rPr>
            </w:pPr>
            <w:r>
              <w:rPr>
                <w:rFonts w:cs="Calibri" w:cstheme="minorHAnsi"/>
                <w:b/>
                <w:color w:val="000000"/>
                <w:kern w:val="0"/>
                <w:sz w:val="16"/>
                <w:szCs w:val="16"/>
                <w:lang w:val="pl-PL" w:eastAsia="en-US" w:bidi="ar-SA"/>
              </w:rPr>
              <w:t>Instalacja centralnego ogrzewania,</w:t>
            </w:r>
            <w:r>
              <w:rPr>
                <w:rFonts w:cs="Calibri" w:cstheme="minorHAnsi"/>
                <w:b/>
                <w:kern w:val="0"/>
                <w:sz w:val="16"/>
                <w:szCs w:val="16"/>
                <w:lang w:val="pl-PL" w:eastAsia="en-US" w:bidi="ar-SA"/>
              </w:rPr>
              <w:t xml:space="preserve"> </w:t>
            </w:r>
          </w:p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b/>
                <w:kern w:val="0"/>
                <w:sz w:val="16"/>
                <w:szCs w:val="16"/>
                <w:lang w:val="pl-PL" w:eastAsia="en-US" w:bidi="ar-SA"/>
              </w:rPr>
              <w:t>Instalacja ciepłej wody użytkowej</w:t>
            </w:r>
          </w:p>
        </w:tc>
        <w:tc>
          <w:tcPr>
            <w:tcW w:w="1417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407" w:hRule="atLeast"/>
        </w:trPr>
        <w:tc>
          <w:tcPr>
            <w:tcW w:w="703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5955" w:type="dxa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color w:val="000000"/>
                <w:kern w:val="0"/>
                <w:sz w:val="16"/>
                <w:szCs w:val="16"/>
                <w:lang w:val="pl-PL" w:eastAsia="en-US" w:bidi="ar-SA"/>
              </w:rPr>
              <w:t>Zakup/montaż materiałów instalacyjnych i urządzeń wchodzących w skład instalacji centralnego ogrzewania (w tym kolektorów słonecznych), wykonanie równoważenia hydraulicznego instalacji grzewczej.</w:t>
            </w:r>
          </w:p>
          <w:p>
            <w:pPr>
              <w:pStyle w:val="Normal"/>
              <w:widowControl/>
              <w:spacing w:lineRule="auto" w:line="240" w:before="60" w:after="0"/>
              <w:rPr>
                <w:rFonts w:cs="Calibri" w:cstheme="minorHAnsi"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kern w:val="0"/>
                <w:sz w:val="16"/>
                <w:szCs w:val="16"/>
                <w:lang w:val="pl-PL" w:eastAsia="en-US" w:bidi="ar-SA"/>
              </w:rPr>
              <w:t>Zakup/montaż materiałów instalacyjnych i urządzeń wchodzących w skład instalacji przygotowania ciepłej wody użytkowej (w tym kolektorów słonecznych i pomp ciepła do ciepłej wody użytkowej).</w:t>
            </w:r>
          </w:p>
        </w:tc>
        <w:tc>
          <w:tcPr>
            <w:tcW w:w="1417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346" w:hRule="atLeast"/>
        </w:trPr>
        <w:tc>
          <w:tcPr>
            <w:tcW w:w="703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  <w:drawing>
                <wp:anchor behindDoc="0" distT="0" distB="0" distL="0" distR="0" simplePos="0" locked="0" layoutInCell="1" allowOverlap="1" relativeHeight="17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7620</wp:posOffset>
                  </wp:positionV>
                  <wp:extent cx="186690" cy="183515"/>
                  <wp:effectExtent l="0" t="0" r="0" b="0"/>
                  <wp:wrapNone/>
                  <wp:docPr id="16" name="Obraz 1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Obraz 1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955" w:type="dxa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b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b/>
                <w:color w:val="000000"/>
                <w:kern w:val="0"/>
                <w:sz w:val="16"/>
                <w:szCs w:val="16"/>
                <w:lang w:val="pl-PL" w:eastAsia="en-US" w:bidi="ar-SA"/>
              </w:rPr>
              <w:t>Wentylacja mechaniczna z odzyskiem ciepła</w:t>
            </w:r>
          </w:p>
        </w:tc>
        <w:tc>
          <w:tcPr>
            <w:tcW w:w="1417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407" w:hRule="atLeast"/>
        </w:trPr>
        <w:tc>
          <w:tcPr>
            <w:tcW w:w="703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5955" w:type="dxa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color w:val="000000"/>
                <w:kern w:val="0"/>
                <w:sz w:val="16"/>
                <w:szCs w:val="16"/>
                <w:lang w:val="pl-PL" w:eastAsia="en-US" w:bidi="ar-SA"/>
              </w:rPr>
              <w:t>Zakup/montaż materiałów instalacyjnych składających się na system wentylacji mechanicznej z odzyskiem ciepła (wentylacja z centralą wentylacyjną, rekuperatory ścienne).</w:t>
            </w:r>
          </w:p>
        </w:tc>
        <w:tc>
          <w:tcPr>
            <w:tcW w:w="1417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407" w:hRule="atLeast"/>
        </w:trPr>
        <w:tc>
          <w:tcPr>
            <w:tcW w:w="703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ind w:right="-117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  <w:drawing>
                <wp:anchor behindDoc="0" distT="0" distB="0" distL="0" distR="0" simplePos="0" locked="0" layoutInCell="1" allowOverlap="1" relativeHeight="18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10160</wp:posOffset>
                  </wp:positionV>
                  <wp:extent cx="186690" cy="183515"/>
                  <wp:effectExtent l="0" t="0" r="0" b="0"/>
                  <wp:wrapNone/>
                  <wp:docPr id="17" name="Obraz 1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Obraz 1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955" w:type="dxa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sz w:val="16"/>
                <w:szCs w:val="16"/>
              </w:rPr>
            </w:pPr>
            <w:r>
              <w:rPr>
                <w:rFonts w:cs="Calibri" w:cstheme="minorHAnsi"/>
                <w:b/>
                <w:color w:val="000000"/>
                <w:kern w:val="0"/>
                <w:sz w:val="16"/>
                <w:szCs w:val="16"/>
                <w:lang w:val="pl-PL" w:eastAsia="en-US" w:bidi="ar-SA"/>
              </w:rPr>
              <w:t>Mikroinstalacja fotowoltaiczna</w:t>
            </w:r>
          </w:p>
        </w:tc>
        <w:tc>
          <w:tcPr>
            <w:tcW w:w="1417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  <w:tr>
        <w:trPr>
          <w:trHeight w:val="407" w:hRule="atLeast"/>
        </w:trPr>
        <w:tc>
          <w:tcPr>
            <w:tcW w:w="703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5955" w:type="dxa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color w:val="000000"/>
                <w:kern w:val="0"/>
                <w:sz w:val="16"/>
                <w:szCs w:val="16"/>
                <w:lang w:val="pl-PL" w:eastAsia="en-US" w:bidi="ar-SA"/>
              </w:rPr>
              <w:t>Zakup/montaż oraz odbiór i uruchomienie mikroinstalacji fotowoltaicznej (panele fotowoltaiczne z niezbędnym oprzyrządowaniem)</w:t>
            </w:r>
          </w:p>
        </w:tc>
        <w:tc>
          <w:tcPr>
            <w:tcW w:w="1417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  <w:tc>
          <w:tcPr>
            <w:tcW w:w="1133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/>
                <w:kern w:val="0"/>
                <w:sz w:val="20"/>
                <w:szCs w:val="20"/>
                <w:lang w:val="pl-PL" w:eastAsia="en-US" w:bidi="ar-SA"/>
              </w:rPr>
            </w:r>
          </w:p>
        </w:tc>
      </w:tr>
    </w:tbl>
    <w:p>
      <w:pPr>
        <w:pStyle w:val="Normal"/>
        <w:rPr>
          <w:rFonts w:ascii="Calibri" w:hAnsi="Calibri" w:cs="" w:asciiTheme="minorHAnsi" w:cstheme="minorBidi" w:hAnsiTheme="minorHAnsi"/>
          <w:sz w:val="16"/>
          <w:szCs w:val="16"/>
        </w:rPr>
      </w:pPr>
      <w:r>
        <w:rPr/>
        <w:tab/>
        <w:tab/>
        <w:tab/>
        <w:tab/>
        <w:tab/>
        <w:tab/>
        <w:tab/>
        <w:tab/>
        <w:tab/>
      </w:r>
    </w:p>
    <w:p>
      <w:pPr>
        <w:pStyle w:val="Normal"/>
        <w:rPr>
          <w:b/>
          <w:sz w:val="18"/>
          <w:szCs w:val="18"/>
        </w:rPr>
      </w:pPr>
      <w:r>
        <w:rPr>
          <w:lang w:eastAsia="pl-PL"/>
        </w:rPr>
        <w:t xml:space="preserve">II. </w:t>
      </w:r>
      <w:r>
        <w:rPr>
          <w:b/>
          <w:sz w:val="18"/>
          <w:szCs w:val="18"/>
        </w:rPr>
        <w:t xml:space="preserve"> Ocieplenie przegród budowlanych, stolarka okienna i drzwiowa </w:t>
        <w:tab/>
        <w:tab/>
        <w:tab/>
        <w:t xml:space="preserve"> </w:t>
      </w:r>
    </w:p>
    <w:tbl>
      <w:tblPr>
        <w:tblStyle w:val="Tabela-Siatka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63"/>
        <w:gridCol w:w="4213"/>
        <w:gridCol w:w="1126"/>
        <w:gridCol w:w="1596"/>
        <w:gridCol w:w="1364"/>
      </w:tblGrid>
      <w:tr>
        <w:trPr>
          <w:tblHeader w:val="true"/>
          <w:cantSplit w:val="true"/>
        </w:trPr>
        <w:tc>
          <w:tcPr>
            <w:tcW w:w="763" w:type="dxa"/>
            <w:tcBorders/>
            <w:shd w:color="auto" w:fill="E7E6E6" w:themeFill="background2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kern w:val="0"/>
                <w:sz w:val="16"/>
                <w:szCs w:val="16"/>
                <w:lang w:val="pl-PL" w:eastAsia="en-US" w:bidi="ar-SA"/>
              </w:rPr>
              <w:t>Dotyczy</w:t>
            </w:r>
          </w:p>
        </w:tc>
        <w:tc>
          <w:tcPr>
            <w:tcW w:w="4213" w:type="dxa"/>
            <w:tcBorders/>
            <w:shd w:color="auto" w:fill="E7E6E6" w:themeFill="background2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kern w:val="0"/>
                <w:sz w:val="16"/>
                <w:szCs w:val="16"/>
                <w:lang w:val="pl-PL" w:eastAsia="en-US" w:bidi="ar-SA"/>
              </w:rPr>
              <w:t>Koszty elementu Przedmiotu Umowy</w:t>
            </w:r>
          </w:p>
        </w:tc>
        <w:tc>
          <w:tcPr>
            <w:tcW w:w="1126" w:type="dxa"/>
            <w:tcBorders/>
            <w:shd w:color="auto" w:fill="E7E6E6" w:themeFill="background2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kern w:val="0"/>
                <w:sz w:val="16"/>
                <w:szCs w:val="16"/>
                <w:lang w:val="pl-PL" w:eastAsia="en-US" w:bidi="ar-SA"/>
              </w:rPr>
              <w:t xml:space="preserve">Powierzchnia </w:t>
              <w:br/>
              <w:t>[m</w:t>
            </w:r>
            <w:r>
              <w:rPr>
                <w:b/>
                <w:kern w:val="0"/>
                <w:sz w:val="16"/>
                <w:szCs w:val="16"/>
                <w:vertAlign w:val="superscript"/>
                <w:lang w:val="pl-PL" w:eastAsia="en-US" w:bidi="ar-SA"/>
              </w:rPr>
              <w:t>2</w:t>
            </w:r>
            <w:r>
              <w:rPr>
                <w:b/>
                <w:kern w:val="0"/>
                <w:sz w:val="16"/>
                <w:szCs w:val="16"/>
                <w:lang w:val="pl-PL" w:eastAsia="en-US" w:bidi="ar-SA"/>
              </w:rPr>
              <w:t>]</w:t>
            </w:r>
          </w:p>
        </w:tc>
        <w:tc>
          <w:tcPr>
            <w:tcW w:w="1596" w:type="dxa"/>
            <w:tcBorders/>
            <w:shd w:color="auto" w:fill="E7E6E6" w:themeFill="background2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kern w:val="0"/>
                <w:sz w:val="16"/>
                <w:szCs w:val="16"/>
                <w:lang w:val="pl-PL" w:eastAsia="en-US" w:bidi="ar-SA"/>
              </w:rPr>
              <w:t>Koszt  brutto</w:t>
            </w:r>
          </w:p>
        </w:tc>
        <w:tc>
          <w:tcPr>
            <w:tcW w:w="1364" w:type="dxa"/>
            <w:tcBorders/>
            <w:shd w:color="auto" w:fill="E7E6E6" w:themeFill="background2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kern w:val="0"/>
                <w:sz w:val="16"/>
                <w:szCs w:val="16"/>
                <w:lang w:val="pl-PL" w:eastAsia="en-US" w:bidi="ar-SA"/>
              </w:rPr>
              <w:t>Koszt  netto</w:t>
            </w:r>
          </w:p>
        </w:tc>
      </w:tr>
      <w:tr>
        <w:trPr>
          <w:trHeight w:val="165" w:hRule="atLeast"/>
        </w:trPr>
        <w:tc>
          <w:tcPr>
            <w:tcW w:w="763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rPr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kern w:val="0"/>
                <w:sz w:val="22"/>
                <w:szCs w:val="22"/>
                <w:lang w:val="pl-PL" w:eastAsia="en-US" w:bidi="ar-SA"/>
              </w:rPr>
              <w:drawing>
                <wp:anchor behindDoc="0" distT="0" distB="0" distL="0" distR="0" simplePos="0" locked="0" layoutInCell="1" allowOverlap="1" relativeHeight="19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635</wp:posOffset>
                  </wp:positionV>
                  <wp:extent cx="186690" cy="183515"/>
                  <wp:effectExtent l="0" t="0" r="0" b="0"/>
                  <wp:wrapNone/>
                  <wp:docPr id="18" name="Obraz 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Obraz 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Normal"/>
              <w:widowControl/>
              <w:spacing w:lineRule="auto" w:line="240" w:before="0" w:after="0"/>
              <w:ind w:right="-34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6935" w:type="dxa"/>
            <w:gridSpan w:val="3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b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b/>
                <w:color w:val="000000"/>
                <w:kern w:val="0"/>
                <w:sz w:val="16"/>
                <w:szCs w:val="16"/>
                <w:lang w:val="pl-PL" w:eastAsia="en-US" w:bidi="ar-SA"/>
              </w:rPr>
              <w:t>Ocieplenie przegród budowlanych</w:t>
            </w:r>
          </w:p>
        </w:tc>
        <w:tc>
          <w:tcPr>
            <w:tcW w:w="1364" w:type="dxa"/>
            <w:tcBorders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b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b/>
                <w:color w:val="000000"/>
                <w:kern w:val="0"/>
                <w:sz w:val="16"/>
                <w:szCs w:val="16"/>
                <w:lang w:val="pl-PL" w:eastAsia="en-US" w:bidi="ar-SA"/>
              </w:rPr>
            </w:r>
          </w:p>
        </w:tc>
      </w:tr>
      <w:tr>
        <w:trPr>
          <w:trHeight w:val="1232" w:hRule="atLeast"/>
        </w:trPr>
        <w:tc>
          <w:tcPr>
            <w:tcW w:w="763" w:type="dxa"/>
            <w:vMerge w:val="continue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ind w:right="-34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6935" w:type="dxa"/>
            <w:gridSpan w:val="3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color w:val="000000"/>
                <w:kern w:val="0"/>
                <w:sz w:val="16"/>
                <w:szCs w:val="16"/>
                <w:lang w:val="pl-PL" w:eastAsia="en-US" w:bidi="ar-SA"/>
              </w:rPr>
              <w:t>Zakup/montaż materiałów budowlanych wykorzystywanych do ocieplenia przegród budowlanych zewnętrznych i wewnętrznych oddzielających pomieszczenia ogrzewane od nieogrzewanych, stropów pod nieogrzewanymi poddaszami, stropów nad pomieszczeniami nieogrzewanymi i zamkniętymi przestrzeniami podpodłogowymi, płyt balkonowych, fundamentów itp. wchodzących w skład systemów dociepleń lub wykorzystywanych do zabezpieczenia przed zawilgoceniem. Zakup i montaż materiałów budowlanych w celu przeprowadzenia niezbędnych prac towarzyszących (np. wymiana parapetów zewnętrznych, orynnowania itp.)</w:t>
            </w:r>
          </w:p>
        </w:tc>
        <w:tc>
          <w:tcPr>
            <w:tcW w:w="1364" w:type="dxa"/>
            <w:tcBorders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color w:val="000000"/>
                <w:kern w:val="0"/>
                <w:sz w:val="16"/>
                <w:szCs w:val="16"/>
                <w:lang w:val="pl-PL" w:eastAsia="en-US" w:bidi="ar-SA"/>
              </w:rPr>
            </w:r>
          </w:p>
        </w:tc>
      </w:tr>
      <w:tr>
        <w:trPr>
          <w:trHeight w:val="418" w:hRule="atLeast"/>
        </w:trPr>
        <w:tc>
          <w:tcPr>
            <w:tcW w:w="763" w:type="dxa"/>
            <w:vMerge w:val="continue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ind w:right="-34" w:hanging="0"/>
              <w:rPr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4213" w:type="dxa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Cs/>
                <w:sz w:val="16"/>
                <w:szCs w:val="16"/>
                <w:lang w:eastAsia="pl-PL"/>
              </w:rPr>
            </w:pPr>
            <w:r>
              <w:rPr>
                <w:rFonts w:cs="Calibri" w:cstheme="minorHAnsi"/>
                <w:b/>
                <w:color w:val="000000"/>
                <w:kern w:val="0"/>
                <w:sz w:val="16"/>
                <w:szCs w:val="16"/>
                <w:lang w:val="pl-PL" w:eastAsia="en-US" w:bidi="ar-SA"/>
              </w:rPr>
              <w:t>Dach/stropodach/strop pod nieogrzewanym poddaszem</w:t>
            </w:r>
          </w:p>
        </w:tc>
        <w:tc>
          <w:tcPr>
            <w:tcW w:w="112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159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136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</w:tr>
      <w:tr>
        <w:trPr>
          <w:trHeight w:val="410" w:hRule="atLeast"/>
        </w:trPr>
        <w:tc>
          <w:tcPr>
            <w:tcW w:w="763" w:type="dxa"/>
            <w:vMerge w:val="continue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ind w:right="-34" w:hanging="0"/>
              <w:rPr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4213" w:type="dxa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Cs/>
                <w:sz w:val="16"/>
                <w:szCs w:val="16"/>
                <w:lang w:eastAsia="pl-PL"/>
              </w:rPr>
            </w:pPr>
            <w:r>
              <w:rPr>
                <w:rFonts w:cs="Calibri" w:cstheme="minorHAnsi"/>
                <w:b/>
                <w:color w:val="000000"/>
                <w:kern w:val="0"/>
                <w:sz w:val="16"/>
                <w:szCs w:val="16"/>
                <w:lang w:val="pl-PL" w:eastAsia="en-US" w:bidi="ar-SA"/>
              </w:rPr>
              <w:t>Ściany zewnętrzne/przegrody pionowe</w:t>
            </w:r>
          </w:p>
        </w:tc>
        <w:tc>
          <w:tcPr>
            <w:tcW w:w="112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159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136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</w:tr>
      <w:tr>
        <w:trPr>
          <w:trHeight w:val="354" w:hRule="atLeast"/>
        </w:trPr>
        <w:tc>
          <w:tcPr>
            <w:tcW w:w="763" w:type="dxa"/>
            <w:vMerge w:val="continue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ind w:right="-34" w:hanging="0"/>
              <w:rPr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4213" w:type="dxa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Cs/>
                <w:sz w:val="16"/>
                <w:szCs w:val="16"/>
                <w:lang w:eastAsia="pl-PL"/>
              </w:rPr>
            </w:pPr>
            <w:r>
              <w:rPr>
                <w:rFonts w:cs="Calibri" w:cstheme="minorHAnsi"/>
                <w:b/>
                <w:color w:val="000000"/>
                <w:kern w:val="0"/>
                <w:sz w:val="16"/>
                <w:szCs w:val="16"/>
                <w:lang w:val="pl-PL" w:eastAsia="en-US" w:bidi="ar-SA"/>
              </w:rPr>
              <w:t>Podłoga na gruncie/strop nad piwnicą</w:t>
            </w:r>
          </w:p>
        </w:tc>
        <w:tc>
          <w:tcPr>
            <w:tcW w:w="112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159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136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</w:tr>
      <w:tr>
        <w:trPr>
          <w:trHeight w:val="113" w:hRule="atLeast"/>
        </w:trPr>
        <w:tc>
          <w:tcPr>
            <w:tcW w:w="763" w:type="dxa"/>
            <w:vMerge w:val="restart"/>
            <w:tcBorders/>
            <w:shd w:color="auto" w:fill="auto" w:val="clear"/>
          </w:tcPr>
          <w:p>
            <w:pPr>
              <w:pStyle w:val="Normal"/>
              <w:keepNext w:val="true"/>
              <w:keepLines/>
              <w:widowControl/>
              <w:spacing w:lineRule="auto" w:line="240" w:before="0" w:after="0"/>
              <w:rPr>
                <w:lang w:eastAsia="pl-PL"/>
              </w:rPr>
            </w:pPr>
            <w:r>
              <w:rPr>
                <w:kern w:val="0"/>
                <w:sz w:val="22"/>
                <w:szCs w:val="22"/>
                <w:lang w:val="pl-PL" w:eastAsia="pl-PL" w:bidi="ar-SA"/>
              </w:rPr>
              <w:drawing>
                <wp:anchor behindDoc="0" distT="0" distB="0" distL="0" distR="0" simplePos="0" locked="0" layoutInCell="1" allowOverlap="1" relativeHeight="20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2540</wp:posOffset>
                  </wp:positionV>
                  <wp:extent cx="186690" cy="183515"/>
                  <wp:effectExtent l="0" t="0" r="0" b="0"/>
                  <wp:wrapNone/>
                  <wp:docPr id="19" name="Obraz 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Obraz 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Normal"/>
              <w:keepNext w:val="true"/>
              <w:keepLines/>
              <w:widowControl/>
              <w:spacing w:lineRule="auto" w:line="240" w:before="0" w:after="0"/>
              <w:ind w:right="-34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4213" w:type="dxa"/>
            <w:tcBorders/>
            <w:shd w:color="auto" w:fill="auto" w:val="clear"/>
          </w:tcPr>
          <w:p>
            <w:pPr>
              <w:pStyle w:val="Normal"/>
              <w:keepNext w:val="true"/>
              <w:keepLines/>
              <w:widowControl/>
              <w:spacing w:lineRule="auto" w:line="240" w:before="0" w:after="0"/>
              <w:rPr>
                <w:rFonts w:cs="Calibri" w:cstheme="minorHAnsi"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b/>
                <w:color w:val="000000"/>
                <w:kern w:val="0"/>
                <w:sz w:val="16"/>
                <w:szCs w:val="16"/>
                <w:lang w:val="pl-PL" w:eastAsia="en-US" w:bidi="ar-SA"/>
              </w:rPr>
              <w:t>Stolarka okienna</w:t>
            </w:r>
          </w:p>
        </w:tc>
        <w:tc>
          <w:tcPr>
            <w:tcW w:w="1126" w:type="dxa"/>
            <w:vMerge w:val="restart"/>
            <w:tcBorders/>
            <w:shd w:color="auto" w:fill="auto" w:val="clear"/>
          </w:tcPr>
          <w:p>
            <w:pPr>
              <w:pStyle w:val="Normal"/>
              <w:keepNext w:val="true"/>
              <w:keepLines/>
              <w:widowControl/>
              <w:spacing w:lineRule="auto" w:line="240" w:before="0" w:after="0"/>
              <w:jc w:val="center"/>
              <w:rPr>
                <w:rFonts w:cs="" w:cstheme="minorBidi"/>
                <w:sz w:val="16"/>
                <w:szCs w:val="16"/>
              </w:rPr>
            </w:pPr>
            <w:r>
              <w:rPr>
                <w:rFonts w:cs="" w:cstheme="minorBidi"/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1596" w:type="dxa"/>
            <w:vMerge w:val="restart"/>
            <w:tcBorders/>
            <w:shd w:color="auto" w:fill="auto" w:val="clear"/>
          </w:tcPr>
          <w:p>
            <w:pPr>
              <w:pStyle w:val="Normal"/>
              <w:keepNext w:val="true"/>
              <w:keepLines/>
              <w:widowControl/>
              <w:spacing w:lineRule="auto" w:line="240" w:before="0" w:after="0"/>
              <w:jc w:val="center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1364" w:type="dxa"/>
            <w:vMerge w:val="restart"/>
            <w:tcBorders/>
          </w:tcPr>
          <w:p>
            <w:pPr>
              <w:pStyle w:val="Normal"/>
              <w:keepNext w:val="true"/>
              <w:keepLines/>
              <w:widowControl/>
              <w:spacing w:lineRule="auto" w:line="240" w:before="0" w:after="0"/>
              <w:jc w:val="center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</w:tr>
      <w:tr>
        <w:trPr>
          <w:trHeight w:val="112" w:hRule="atLeast"/>
        </w:trPr>
        <w:tc>
          <w:tcPr>
            <w:tcW w:w="763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keepNext w:val="true"/>
              <w:keepLines/>
              <w:widowControl/>
              <w:spacing w:lineRule="auto" w:line="240" w:before="0" w:after="0"/>
              <w:ind w:right="-34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4213" w:type="dxa"/>
            <w:tcBorders/>
            <w:shd w:color="auto" w:fill="auto" w:val="clear"/>
          </w:tcPr>
          <w:p>
            <w:pPr>
              <w:pStyle w:val="Normal"/>
              <w:keepNext w:val="true"/>
              <w:keepLines/>
              <w:widowControl/>
              <w:spacing w:lineRule="auto" w:line="240" w:before="0" w:after="0"/>
              <w:rPr>
                <w:rFonts w:cs="Calibri" w:cstheme="minorHAnsi"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color w:val="000000"/>
                <w:kern w:val="0"/>
                <w:sz w:val="16"/>
                <w:szCs w:val="16"/>
                <w:lang w:val="pl-PL" w:eastAsia="en-US" w:bidi="ar-SA"/>
              </w:rPr>
              <w:t>Zakup/montaż stolarki okiennej w tym okna/drzwi balkonowe, okna połaciowe, powierzchnie przezroczyste nieotwieralne wraz z systemami montażowymi.</w:t>
            </w:r>
          </w:p>
        </w:tc>
        <w:tc>
          <w:tcPr>
            <w:tcW w:w="1126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keepNext w:val="true"/>
              <w:keepLines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1596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keepNext w:val="true"/>
              <w:keepLines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1364" w:type="dxa"/>
            <w:vMerge w:val="continue"/>
            <w:tcBorders/>
          </w:tcPr>
          <w:p>
            <w:pPr>
              <w:pStyle w:val="Normal"/>
              <w:keepNext w:val="true"/>
              <w:keepLines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</w:tr>
      <w:tr>
        <w:trPr>
          <w:trHeight w:val="113" w:hRule="atLeast"/>
        </w:trPr>
        <w:tc>
          <w:tcPr>
            <w:tcW w:w="763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rPr>
                <w:rFonts w:cs="" w:cstheme="minorBidi"/>
              </w:rPr>
            </w:pPr>
            <w:r>
              <w:rPr>
                <w:rFonts w:cs="" w:cstheme="minorBidi"/>
                <w:kern w:val="0"/>
                <w:sz w:val="22"/>
                <w:szCs w:val="22"/>
                <w:lang w:val="pl-PL" w:eastAsia="en-US" w:bidi="ar-SA"/>
              </w:rPr>
              <w:drawing>
                <wp:anchor behindDoc="0" distT="0" distB="0" distL="0" distR="0" simplePos="0" locked="0" layoutInCell="1" allowOverlap="1" relativeHeight="2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31115</wp:posOffset>
                  </wp:positionV>
                  <wp:extent cx="186690" cy="183515"/>
                  <wp:effectExtent l="0" t="0" r="0" b="0"/>
                  <wp:wrapNone/>
                  <wp:docPr id="20" name="Obraz 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Obraz 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Normal"/>
              <w:widowControl/>
              <w:spacing w:lineRule="auto" w:line="240" w:before="0" w:after="0"/>
              <w:ind w:right="-34" w:hanging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4213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b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b/>
                <w:color w:val="000000"/>
                <w:kern w:val="0"/>
                <w:sz w:val="16"/>
                <w:szCs w:val="16"/>
                <w:lang w:val="pl-PL" w:eastAsia="en-US" w:bidi="ar-SA"/>
              </w:rPr>
              <w:t>Stolarka drzwiowa</w:t>
            </w:r>
          </w:p>
        </w:tc>
        <w:tc>
          <w:tcPr>
            <w:tcW w:w="1126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cs="" w:cstheme="minorBidi"/>
                <w:sz w:val="16"/>
                <w:szCs w:val="16"/>
              </w:rPr>
            </w:pPr>
            <w:r>
              <w:rPr>
                <w:rFonts w:cs="" w:cstheme="minorBidi"/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1596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1364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</w:tr>
      <w:tr>
        <w:trPr>
          <w:trHeight w:val="112" w:hRule="atLeast"/>
        </w:trPr>
        <w:tc>
          <w:tcPr>
            <w:tcW w:w="763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4213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rPr>
                <w:rFonts w:cs="Calibri" w:cstheme="minorHAnsi"/>
                <w:color w:val="000000"/>
                <w:sz w:val="16"/>
                <w:szCs w:val="16"/>
              </w:rPr>
            </w:pPr>
            <w:r>
              <w:rPr>
                <w:rFonts w:cs="Calibri" w:cstheme="minorHAnsi"/>
                <w:color w:val="000000"/>
                <w:kern w:val="0"/>
                <w:sz w:val="16"/>
                <w:szCs w:val="16"/>
                <w:lang w:val="pl-PL" w:eastAsia="en-US" w:bidi="ar-SA"/>
              </w:rPr>
              <w:t>Zakup/montaż drzwi zewnętrznych</w:t>
            </w:r>
          </w:p>
        </w:tc>
        <w:tc>
          <w:tcPr>
            <w:tcW w:w="1126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1596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1364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</w:tr>
      <w:tr>
        <w:trPr>
          <w:trHeight w:val="113" w:hRule="atLeast"/>
        </w:trPr>
        <w:tc>
          <w:tcPr>
            <w:tcW w:w="763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  <w:drawing>
                <wp:anchor behindDoc="0" distT="0" distB="0" distL="0" distR="0" simplePos="0" locked="0" layoutInCell="1" allowOverlap="1" relativeHeight="22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31115</wp:posOffset>
                  </wp:positionV>
                  <wp:extent cx="186690" cy="183515"/>
                  <wp:effectExtent l="0" t="0" r="0" b="0"/>
                  <wp:wrapNone/>
                  <wp:docPr id="21" name="Obraz 2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Obraz 2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Normal"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4213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rPr>
                <w:b/>
                <w:sz w:val="16"/>
                <w:szCs w:val="16"/>
              </w:rPr>
            </w:pPr>
            <w:r>
              <w:rPr>
                <w:b/>
                <w:kern w:val="0"/>
                <w:sz w:val="16"/>
                <w:szCs w:val="16"/>
                <w:lang w:val="pl-PL" w:eastAsia="en-US" w:bidi="ar-SA"/>
              </w:rPr>
              <w:t>Bramy garażowe</w:t>
            </w:r>
          </w:p>
        </w:tc>
        <w:tc>
          <w:tcPr>
            <w:tcW w:w="1126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cs="" w:cstheme="minorBidi"/>
                <w:sz w:val="16"/>
                <w:szCs w:val="16"/>
              </w:rPr>
            </w:pPr>
            <w:r>
              <w:rPr>
                <w:rFonts w:cs="" w:cstheme="minorBidi"/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1596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cs="" w:cstheme="minorBidi"/>
                <w:sz w:val="16"/>
                <w:szCs w:val="16"/>
              </w:rPr>
            </w:pPr>
            <w:r>
              <w:rPr>
                <w:rFonts w:cs="" w:cstheme="minorBidi"/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1364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cs="" w:cstheme="minorBidi"/>
                <w:sz w:val="16"/>
                <w:szCs w:val="16"/>
              </w:rPr>
            </w:pPr>
            <w:r>
              <w:rPr>
                <w:rFonts w:cs="" w:cstheme="minorBidi"/>
                <w:kern w:val="0"/>
                <w:sz w:val="16"/>
                <w:szCs w:val="16"/>
                <w:lang w:val="pl-PL" w:eastAsia="en-US" w:bidi="ar-SA"/>
              </w:rPr>
            </w:r>
          </w:p>
        </w:tc>
      </w:tr>
      <w:tr>
        <w:trPr>
          <w:trHeight w:val="112" w:hRule="atLeast"/>
        </w:trPr>
        <w:tc>
          <w:tcPr>
            <w:tcW w:w="763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4213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  <w:t>Zakup/montaż bram garażowych.</w:t>
            </w:r>
          </w:p>
        </w:tc>
        <w:tc>
          <w:tcPr>
            <w:tcW w:w="1126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1596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1364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</w:tr>
    </w:tbl>
    <w:p>
      <w:pPr>
        <w:pStyle w:val="Normal"/>
        <w:keepNext w:val="true"/>
        <w:rPr>
          <w:rFonts w:ascii="Calibri" w:hAnsi="Calibri" w:cs="" w:asciiTheme="minorHAnsi" w:cstheme="minorBidi" w:hAnsiTheme="minorHAnsi"/>
          <w:b/>
          <w:sz w:val="18"/>
          <w:szCs w:val="18"/>
        </w:rPr>
      </w:pPr>
      <w:r>
        <w:rPr>
          <w:rFonts w:cs="" w:cstheme="minorBidi"/>
          <w:b/>
          <w:sz w:val="18"/>
          <w:szCs w:val="18"/>
        </w:rPr>
      </w:r>
    </w:p>
    <w:p>
      <w:pPr>
        <w:pStyle w:val="Normal"/>
        <w:keepNext w:val="true"/>
        <w:rPr>
          <w:b/>
          <w:sz w:val="18"/>
          <w:szCs w:val="18"/>
        </w:rPr>
      </w:pPr>
      <w:r>
        <w:rPr>
          <w:b/>
          <w:sz w:val="18"/>
          <w:szCs w:val="18"/>
        </w:rPr>
        <w:t>III. Dokumentacja</w:t>
        <w:tab/>
        <w:tab/>
        <w:tab/>
        <w:tab/>
        <w:tab/>
        <w:tab/>
        <w:tab/>
        <w:tab/>
        <w:t xml:space="preserve"> </w:t>
      </w:r>
    </w:p>
    <w:tbl>
      <w:tblPr>
        <w:tblStyle w:val="Tabela-Siatka"/>
        <w:tblW w:w="9067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65"/>
        <w:gridCol w:w="5609"/>
        <w:gridCol w:w="1275"/>
        <w:gridCol w:w="1417"/>
      </w:tblGrid>
      <w:tr>
        <w:trPr/>
        <w:tc>
          <w:tcPr>
            <w:tcW w:w="765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kern w:val="0"/>
                <w:sz w:val="16"/>
                <w:szCs w:val="16"/>
                <w:lang w:val="pl-PL" w:eastAsia="en-US" w:bidi="ar-SA"/>
              </w:rPr>
              <w:t>Dotyczy</w:t>
            </w:r>
          </w:p>
        </w:tc>
        <w:tc>
          <w:tcPr>
            <w:tcW w:w="5609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kern w:val="0"/>
                <w:sz w:val="16"/>
                <w:szCs w:val="16"/>
                <w:lang w:val="pl-PL" w:eastAsia="en-US" w:bidi="ar-SA"/>
              </w:rPr>
              <w:t>Koszt kwalifikowany</w:t>
            </w:r>
          </w:p>
        </w:tc>
        <w:tc>
          <w:tcPr>
            <w:tcW w:w="1275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kern w:val="0"/>
                <w:sz w:val="16"/>
                <w:szCs w:val="16"/>
                <w:lang w:val="pl-PL" w:eastAsia="en-US" w:bidi="ar-SA"/>
              </w:rPr>
              <w:t xml:space="preserve">Koszt brutto </w:t>
            </w:r>
          </w:p>
        </w:tc>
        <w:tc>
          <w:tcPr>
            <w:tcW w:w="1417" w:type="dxa"/>
            <w:tcBorders/>
            <w:shd w:color="auto" w:fill="E7E6E6" w:themeFill="background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kern w:val="0"/>
                <w:sz w:val="16"/>
                <w:szCs w:val="16"/>
                <w:lang w:val="pl-PL" w:eastAsia="en-US" w:bidi="ar-SA"/>
              </w:rPr>
              <w:t>Koszt netto</w:t>
            </w:r>
          </w:p>
        </w:tc>
      </w:tr>
      <w:tr>
        <w:trPr>
          <w:trHeight w:val="277" w:hRule="atLeast"/>
        </w:trPr>
        <w:tc>
          <w:tcPr>
            <w:tcW w:w="765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rPr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kern w:val="0"/>
                <w:sz w:val="22"/>
                <w:szCs w:val="22"/>
                <w:lang w:val="pl-PL" w:eastAsia="en-US" w:bidi="ar-SA"/>
              </w:rPr>
              <w:drawing>
                <wp:anchor behindDoc="0" distT="0" distB="0" distL="0" distR="0" simplePos="0" locked="0" layoutInCell="1" allowOverlap="1" relativeHeight="23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19685</wp:posOffset>
                  </wp:positionV>
                  <wp:extent cx="186690" cy="183515"/>
                  <wp:effectExtent l="0" t="0" r="0" b="0"/>
                  <wp:wrapNone/>
                  <wp:docPr id="22" name="Obraz 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Obraz 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Normal"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560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b/>
                <w:kern w:val="0"/>
                <w:sz w:val="16"/>
                <w:szCs w:val="16"/>
                <w:lang w:val="pl-PL" w:eastAsia="en-US" w:bidi="ar-SA"/>
              </w:rPr>
              <w:t xml:space="preserve">Audyt energetyczny </w:t>
            </w:r>
          </w:p>
        </w:tc>
        <w:tc>
          <w:tcPr>
            <w:tcW w:w="1275" w:type="dxa"/>
            <w:vMerge w:val="restart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1417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</w:tr>
      <w:tr>
        <w:trPr>
          <w:trHeight w:val="488" w:hRule="atLeast"/>
        </w:trPr>
        <w:tc>
          <w:tcPr>
            <w:tcW w:w="765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560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  <w:t>Koszt wykonania audytu energetycznego budynku/lokalu mieszkalnego jest kwalifikowany, pod warunkiem sporządzenia Dokumentu podsumowującego audyt energetyczny na obowiązującym w ramach Programu wzorze oraz pod warunkiem, że zakres prac dla wybranego wariantu wynikającego z audytu energetycznego zostanie zrealizowany w ramach złożonego wniosku o dofinansowanie, nie później niż do dnia zakończenia realizacji wnioskowanego przedsięwzięcia. W przypadku niezrealizowania całego zakresu wskazanego w audycie, koszt audytu nie będzie podlegał dofinansowaniu.</w:t>
            </w:r>
          </w:p>
        </w:tc>
        <w:tc>
          <w:tcPr>
            <w:tcW w:w="1275" w:type="dxa"/>
            <w:vMerge w:val="continue"/>
            <w:tcBorders/>
            <w:shd w:color="auto" w:fill="auto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  <w:tc>
          <w:tcPr>
            <w:tcW w:w="1417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eastAsia="en-US" w:bidi="ar-SA"/>
              </w:rPr>
            </w:r>
          </w:p>
        </w:tc>
      </w:tr>
    </w:tbl>
    <w:p>
      <w:pPr>
        <w:pStyle w:val="ListParagraph"/>
        <w:ind w:left="360" w:hanging="0"/>
        <w:rPr/>
      </w:pPr>
      <w:r>
        <w:rPr/>
      </w:r>
    </w:p>
    <w:p>
      <w:pPr>
        <w:pStyle w:val="ListParagraph"/>
        <w:keepNext w:val="true"/>
        <w:numPr>
          <w:ilvl w:val="0"/>
          <w:numId w:val="9"/>
        </w:numPr>
        <w:ind w:left="0" w:firstLine="66"/>
        <w:jc w:val="center"/>
        <w:rPr>
          <w:b/>
        </w:rPr>
      </w:pPr>
      <w:r>
        <w:rPr>
          <w:b/>
        </w:rPr>
        <w:t>Dofinansowanie ze środków PPCP</w:t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426" w:leader="none"/>
        </w:tabs>
        <w:ind w:left="284" w:hanging="284"/>
        <w:rPr/>
      </w:pPr>
      <w:r>
        <w:rPr/>
        <w:t>Przedmiot Umowy wchodzi w skład przedsięwzięcia, na które Zamawiający składa wniosek o dofinansowanie w formie dotacji z prefinansowaniem, w ramach programu priorytetowego „Czyste Powietrze” (dalej Program), na podstawie którego zostanie zawarta umowa dotacji przez Wojewódzki Fundusz Ochrony Środowiska i Gospodarki Wodnej w ……………………... (dalej WFOŚiGW) z Zamawiającym.</w:t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426" w:leader="none"/>
        </w:tabs>
        <w:ind w:left="284" w:hanging="284"/>
        <w:rPr/>
      </w:pPr>
      <w:r>
        <w:rPr/>
        <w:t>Zawarcie niniejszej Umowy stanowi jeden z warunków wypłaty  prefinansowania, o którym mowa w ust. 1, w tym wypłaty zaliczki.</w:t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426" w:leader="none"/>
        </w:tabs>
        <w:rPr/>
      </w:pPr>
      <w:r>
        <w:rPr/>
        <w:t>Zasady dofinansowania oraz kwalifikowalności kosztów przedsięwzięcia, o którym mowa w ust. 1 określa Program, który jest dostępny na stronie internetowej WFOŚiGW.</w:t>
      </w:r>
    </w:p>
    <w:p>
      <w:pPr>
        <w:pStyle w:val="ListParagraph"/>
        <w:rPr/>
      </w:pPr>
      <w:r>
        <w:rPr/>
      </w:r>
    </w:p>
    <w:p>
      <w:pPr>
        <w:pStyle w:val="ListParagraph"/>
        <w:keepNext w:val="true"/>
        <w:numPr>
          <w:ilvl w:val="0"/>
          <w:numId w:val="9"/>
        </w:numPr>
        <w:ind w:left="357" w:hanging="357"/>
        <w:jc w:val="center"/>
        <w:rPr>
          <w:b/>
        </w:rPr>
      </w:pPr>
      <w:r>
        <w:rPr>
          <w:b/>
        </w:rPr>
        <w:t xml:space="preserve">Wynagrodzenie </w:t>
      </w:r>
    </w:p>
    <w:p>
      <w:pPr>
        <w:pStyle w:val="ListParagraph"/>
        <w:numPr>
          <w:ilvl w:val="0"/>
          <w:numId w:val="2"/>
        </w:numPr>
        <w:rPr/>
      </w:pPr>
      <w:r>
        <w:rPr/>
        <w:t xml:space="preserve">Wynagrodzenie Wykonawcy za wykonanie Przedmiotu Umowy, określonego w § 1, wynosi łącznie .............................. PLN brutto (słownie..................................................................................... PLN). </w:t>
      </w:r>
    </w:p>
    <w:p>
      <w:pPr>
        <w:pStyle w:val="ListParagraph"/>
        <w:numPr>
          <w:ilvl w:val="0"/>
          <w:numId w:val="2"/>
        </w:numPr>
        <w:rPr/>
      </w:pPr>
      <w:r>
        <w:rPr/>
        <w:t>Zamawiający uiści na rzecz Wykonawcy kwotę wynagrodzenia w wysokości określonej w ust. 1, w następujący sposób:</w:t>
      </w:r>
    </w:p>
    <w:p>
      <w:pPr>
        <w:pStyle w:val="ListParagraph"/>
        <w:numPr>
          <w:ilvl w:val="1"/>
          <w:numId w:val="8"/>
        </w:numPr>
        <w:ind w:left="709" w:hanging="360"/>
        <w:rPr/>
      </w:pPr>
      <w:r>
        <w:rPr/>
        <w:t xml:space="preserve">pierwsza transza wynagrodzenia (zaliczka) wynosić będzie do wysokości 50% przyznanej Zamawiającemu dotacji przypadającej na zakres przedsięwzięcia zawarty w niniejszej Umowie i zostanie wypłacona na rzecz Zamawiającego przez WFOŚiGW </w:t>
      </w:r>
      <w:r>
        <w:rPr>
          <w:rFonts w:cs="Calibri" w:cstheme="minorHAnsi"/>
        </w:rPr>
        <w:t>bezpośrednio na rachunek bankowy Wykonawcy, wskazany w ust. 5, w terminie do 14 dni od daty zawarcia umowy dotacji lecz nie wcześniej niż 14 dni przed datą rozpoczęcia realizacji Przedmiotu Umowy, wskazaną w § 5 ust. 1,</w:t>
      </w:r>
    </w:p>
    <w:p>
      <w:pPr>
        <w:pStyle w:val="ListParagraph"/>
        <w:numPr>
          <w:ilvl w:val="1"/>
          <w:numId w:val="8"/>
        </w:numPr>
        <w:ind w:left="709" w:hanging="360"/>
        <w:rPr/>
      </w:pPr>
      <w:r>
        <w:rPr/>
        <w:t>Zamawiający zapłaci Wykonawcy wynagrodzenie, określone w ust. 1, pomniejszone o wysokość wypłaconej przez WFOŚiGW zaliczki, o której mowa w lit. a) i refundacji, o której mowa w lit c) (tj. wkład własny), przed złożeniem do WFOŚiGW wniosku o płatność, o którym mowa w lit. c),</w:t>
      </w:r>
    </w:p>
    <w:p>
      <w:pPr>
        <w:pStyle w:val="ListParagraph"/>
        <w:numPr>
          <w:ilvl w:val="1"/>
          <w:numId w:val="8"/>
        </w:numPr>
        <w:ind w:left="709" w:hanging="360"/>
        <w:rPr/>
      </w:pPr>
      <w:r>
        <w:rPr/>
        <w:t>ostatnia transza wynagrodzenia Wykonawcy stanowiąca kwotę wynagrodzenia wskazaną w  ust. 1, pomniejszoną o wysokość wypłaconej przez WFOŚiGW zaliczki, o której mowa</w:t>
        <w:br/>
        <w:t>w lit. a) i wkładu własnego, o którym mowa w lit. b), zostanie wypłacona Zamawiającemu przez WFOŚiGW bezpośrednio na rachunek bankowy Wykonawcy, po zrealizowaniu zakresu Przedmiotu Umowy, w terminie do 30 dni od daty wpływu do WFOŚiGW kompletnego i prawidłowo wypełnionego wniosku o płatność wraz z wymaganymi dokumentami. tj. fakturą końcową, protokołem odbioru oraz potwierdzeniem uregulowania wkładu własnego przez Zamawiającego na rzecz Wykonawcy;</w:t>
      </w:r>
    </w:p>
    <w:p>
      <w:pPr>
        <w:pStyle w:val="Normal"/>
        <w:ind w:left="426" w:hanging="0"/>
        <w:rPr/>
      </w:pPr>
      <w:r>
        <w:rPr/>
        <w:t>- z zastrzeżeniem, że WFOŚiGW pokryje w imieniu Zamawiającego wynagrodzenie Wykonawcy w wysokości, określonej w ust. 1 z ograniczeniem do kwoty dotacji należnej na podstawie umowy dotacji i wynikającej z obliczenia dokonanego, zgodnie z warunkami Programu, przy uwzględnieniu procentowej wysokości dotacji wynikającej z Programu, w tym jego załączników.</w:t>
      </w:r>
    </w:p>
    <w:p>
      <w:pPr>
        <w:pStyle w:val="ListParagraph"/>
        <w:numPr>
          <w:ilvl w:val="0"/>
          <w:numId w:val="2"/>
        </w:numPr>
        <w:rPr/>
      </w:pPr>
      <w:r>
        <w:rPr/>
        <w:t>Zamawiający zobowiązuje się, że w umowie dotacji z WFOŚiGW, upoważni WFOŚiGW do przekazania  Wykonawcy transz dotacji na przedsięwzięcie, określonych w ust. 2 lit a) i c) na poniżej wskazany rachunek bankowy Wykonawcy:</w:t>
      </w:r>
    </w:p>
    <w:p>
      <w:pPr>
        <w:pStyle w:val="Normal"/>
        <w:ind w:left="284" w:hanging="0"/>
        <w:rPr/>
      </w:pPr>
      <w:r>
        <w:rPr/>
        <w:t>……………………………………………………………………………………………</w:t>
      </w:r>
    </w:p>
    <w:p>
      <w:pPr>
        <w:pStyle w:val="ListParagraph"/>
        <w:rPr/>
      </w:pPr>
      <w:r>
        <w:rPr/>
      </w:r>
    </w:p>
    <w:p>
      <w:pPr>
        <w:pStyle w:val="ListParagraph"/>
        <w:keepNext w:val="true"/>
        <w:numPr>
          <w:ilvl w:val="0"/>
          <w:numId w:val="9"/>
        </w:numPr>
        <w:ind w:left="357" w:hanging="357"/>
        <w:jc w:val="center"/>
        <w:rPr>
          <w:b/>
        </w:rPr>
      </w:pPr>
      <w:r>
        <w:rPr>
          <w:b/>
        </w:rPr>
        <w:t>Obowiązki Zamawiającego i Wykonawcy</w:t>
      </w:r>
      <w:r>
        <w:rPr>
          <w:rStyle w:val="Zakotwiczenieprzypisudolnego"/>
          <w:b/>
        </w:rPr>
        <w:footnoteReference w:id="10"/>
      </w:r>
    </w:p>
    <w:p>
      <w:pPr>
        <w:pStyle w:val="ListParagraph"/>
        <w:numPr>
          <w:ilvl w:val="0"/>
          <w:numId w:val="1"/>
        </w:numPr>
        <w:rPr/>
      </w:pPr>
      <w:r>
        <w:rPr/>
        <w:t>Do obowiązków Zamawiającego należy:</w:t>
      </w:r>
    </w:p>
    <w:p>
      <w:pPr>
        <w:pStyle w:val="ListParagraph"/>
        <w:ind w:left="1080" w:hanging="0"/>
        <w:rPr/>
      </w:pPr>
      <w:r>
        <w:rPr/>
      </w:r>
    </w:p>
    <w:p>
      <w:pPr>
        <w:pStyle w:val="ListParagraph"/>
        <w:numPr>
          <w:ilvl w:val="1"/>
          <w:numId w:val="1"/>
        </w:numPr>
        <w:rPr/>
      </w:pPr>
      <w:r>
        <w:rPr/>
        <w:t>……………………</w:t>
      </w:r>
      <w:r>
        <w:rPr/>
        <w:t>.</w:t>
      </w:r>
    </w:p>
    <w:p>
      <w:pPr>
        <w:pStyle w:val="ListParagraph"/>
        <w:numPr>
          <w:ilvl w:val="1"/>
          <w:numId w:val="1"/>
        </w:numPr>
        <w:rPr/>
      </w:pPr>
      <w:r>
        <w:rPr/>
        <w:t>…………………</w:t>
      </w:r>
    </w:p>
    <w:p>
      <w:pPr>
        <w:pStyle w:val="ListParagraph"/>
        <w:ind w:left="1080" w:hanging="0"/>
        <w:rPr/>
      </w:pPr>
      <w:r>
        <w:rPr/>
      </w:r>
    </w:p>
    <w:p>
      <w:pPr>
        <w:pStyle w:val="ListParagraph"/>
        <w:numPr>
          <w:ilvl w:val="0"/>
          <w:numId w:val="1"/>
        </w:numPr>
        <w:rPr/>
      </w:pPr>
      <w:r>
        <w:rPr/>
        <w:t>Do obowiązków Wykonawcy należy:</w:t>
      </w:r>
    </w:p>
    <w:p>
      <w:pPr>
        <w:pStyle w:val="ListParagraph"/>
        <w:numPr>
          <w:ilvl w:val="1"/>
          <w:numId w:val="1"/>
        </w:numPr>
        <w:rPr/>
      </w:pPr>
      <w:r>
        <w:rPr/>
        <w:t>……………………</w:t>
      </w:r>
      <w:r>
        <w:rPr/>
        <w:t>.</w:t>
      </w:r>
    </w:p>
    <w:p>
      <w:pPr>
        <w:pStyle w:val="ListParagraph"/>
        <w:numPr>
          <w:ilvl w:val="1"/>
          <w:numId w:val="1"/>
        </w:numPr>
        <w:rPr/>
      </w:pPr>
      <w:r>
        <w:rPr/>
        <w:t>…………</w:t>
      </w:r>
      <w:r>
        <w:rPr/>
        <w:t>..</w:t>
      </w:r>
    </w:p>
    <w:p>
      <w:pPr>
        <w:pStyle w:val="ListParagraph"/>
        <w:ind w:left="1080" w:hanging="0"/>
        <w:rPr/>
      </w:pPr>
      <w:r>
        <w:rPr/>
      </w:r>
    </w:p>
    <w:p>
      <w:pPr>
        <w:pStyle w:val="ListParagraph"/>
        <w:keepNext w:val="true"/>
        <w:numPr>
          <w:ilvl w:val="0"/>
          <w:numId w:val="9"/>
        </w:numPr>
        <w:ind w:left="357" w:hanging="357"/>
        <w:jc w:val="center"/>
        <w:rPr>
          <w:b/>
        </w:rPr>
      </w:pPr>
      <w:r>
        <w:rPr>
          <w:b/>
        </w:rPr>
        <w:t>Realizacja prac, terminy i kary umowne</w:t>
      </w:r>
    </w:p>
    <w:p>
      <w:pPr>
        <w:pStyle w:val="ListParagraph"/>
        <w:numPr>
          <w:ilvl w:val="0"/>
          <w:numId w:val="5"/>
        </w:numPr>
        <w:rPr/>
      </w:pPr>
      <w:r>
        <w:rPr/>
        <w:t>Strony ustalają datę rozpoczęcia realizacji Przedmiotu umowy na dzień ……………………..…..</w:t>
      </w:r>
      <w:r>
        <w:rPr>
          <w:rStyle w:val="Zakotwiczenieprzypisudolnego"/>
        </w:rPr>
        <w:footnoteReference w:id="11"/>
      </w:r>
    </w:p>
    <w:p>
      <w:pPr>
        <w:pStyle w:val="ListParagraph"/>
        <w:numPr>
          <w:ilvl w:val="0"/>
          <w:numId w:val="5"/>
        </w:numPr>
        <w:rPr/>
      </w:pPr>
      <w:r>
        <w:rPr/>
        <w:t>Wykonawca zobowiązany jest do zakończenia realizacji Przedmiotu Umowy do dnia ……………………….</w:t>
      </w:r>
    </w:p>
    <w:p>
      <w:pPr>
        <w:pStyle w:val="ListParagraph"/>
        <w:numPr>
          <w:ilvl w:val="0"/>
          <w:numId w:val="5"/>
        </w:numPr>
        <w:rPr/>
      </w:pPr>
      <w:r>
        <w:rPr/>
        <w:t>Na wszystkie towary wchodzące w zakres Przedmiotu Umowy, określone w § 1 Wykonawca udziela ……… miesięcznej gwarancji i zobowiązuje się w terminie gwarancyjnym usunąć wszelkie powstałe usterki lub wady. Z zobowiązań gwarancyjnych wyłączone są te usterki i wady, które powstały na skutek normalnego użytkowania lub powstałe z winy Zamawiającego.</w:t>
      </w:r>
    </w:p>
    <w:p>
      <w:pPr>
        <w:pStyle w:val="ListParagraph"/>
        <w:numPr>
          <w:ilvl w:val="0"/>
          <w:numId w:val="5"/>
        </w:numPr>
        <w:rPr/>
      </w:pPr>
      <w:r>
        <w:rPr/>
        <w:t xml:space="preserve">Zgłoszenie wad i usterek będzie następowało w następujący sposób: </w:t>
      </w:r>
    </w:p>
    <w:p>
      <w:pPr>
        <w:pStyle w:val="ListParagraph"/>
        <w:ind w:left="360" w:hanging="0"/>
        <w:rPr/>
      </w:pPr>
      <w:r>
        <w:rPr/>
        <w:t>a) na adres e-mail……</w:t>
      </w:r>
    </w:p>
    <w:p>
      <w:pPr>
        <w:pStyle w:val="ListParagraph"/>
        <w:ind w:left="360" w:hanging="0"/>
        <w:rPr>
          <w:rFonts w:ascii="Arial" w:hAnsi="Arial" w:cs="Arial"/>
          <w:sz w:val="25"/>
          <w:szCs w:val="25"/>
        </w:rPr>
      </w:pPr>
      <w:r>
        <w:rPr/>
        <w:t>b) na adres ……..</w:t>
      </w:r>
      <w:r>
        <w:rPr>
          <w:rStyle w:val="NagwekZnak"/>
          <w:rFonts w:cs="Arial" w:ascii="Arial" w:hAnsi="Arial"/>
          <w:sz w:val="25"/>
          <w:szCs w:val="25"/>
        </w:rPr>
        <w:t xml:space="preserve"> </w:t>
      </w:r>
    </w:p>
    <w:p>
      <w:pPr>
        <w:pStyle w:val="ListParagraph"/>
        <w:numPr>
          <w:ilvl w:val="0"/>
          <w:numId w:val="5"/>
        </w:numPr>
        <w:rPr/>
      </w:pPr>
      <w:r>
        <w:rPr/>
        <w:t>Usunięcie zgłoszonych wad lub usterek urządzenia lub wykonanych prac ma nastąpić w terminie …. dni od chwili dokonania zgłoszenia w trybie opisanym w ust. 4.</w:t>
      </w:r>
    </w:p>
    <w:p>
      <w:pPr>
        <w:pStyle w:val="ListParagraph"/>
        <w:numPr>
          <w:ilvl w:val="0"/>
          <w:numId w:val="5"/>
        </w:numPr>
        <w:rPr/>
      </w:pPr>
      <w:r>
        <w:rPr/>
        <w:t>W przypadku braku usunięcia usterki w terminie określonym w ust. 5 Zamawiający ma prawo wezwać inną firmę na koszt i ryzyko Wykonawcy, w celu usunięcia wady lub usterki, bez odrębnego zezwolenia sądu na wykonanie zastępcze, a kosztami naprawy obciążyć Wykonawcę.</w:t>
      </w:r>
    </w:p>
    <w:p>
      <w:pPr>
        <w:pStyle w:val="ListParagraph"/>
        <w:numPr>
          <w:ilvl w:val="0"/>
          <w:numId w:val="5"/>
        </w:numPr>
        <w:rPr/>
      </w:pPr>
      <w:r>
        <w:rPr/>
        <w:t>Szczegółowe warunki udzielonej gwarancji określa karta gwarancyjna, a Zamawiający oświadcza, że zapoznał się z warunkami gwarancyjnymi.</w:t>
      </w:r>
    </w:p>
    <w:p>
      <w:pPr>
        <w:pStyle w:val="ListParagraph"/>
        <w:numPr>
          <w:ilvl w:val="0"/>
          <w:numId w:val="5"/>
        </w:numPr>
        <w:rPr/>
      </w:pPr>
      <w:r>
        <w:rPr/>
        <w:t xml:space="preserve">Gwarancja </w:t>
      </w:r>
      <w:r>
        <w:rPr>
          <w:rStyle w:val="Strong"/>
          <w:b w:val="false"/>
        </w:rPr>
        <w:t>nie wyłącza, nie ogranicza ani nie zawiesza</w:t>
      </w:r>
      <w:r>
        <w:rPr/>
        <w:t xml:space="preserve"> uprawnień Zamawiającego wynikających z przepisów o rękojmi za wady rzeczy sprzedanej.</w:t>
      </w:r>
    </w:p>
    <w:p>
      <w:pPr>
        <w:pStyle w:val="ListParagraph"/>
        <w:numPr>
          <w:ilvl w:val="0"/>
          <w:numId w:val="5"/>
        </w:numPr>
        <w:rPr/>
      </w:pPr>
      <w:r>
        <w:rPr/>
        <w:t>Koszty wszelkich napraw w okresie trwania gwarancji i rękojmi w całości ponoszone są przez Wykonawcę lub producenta.</w:t>
      </w:r>
    </w:p>
    <w:p>
      <w:pPr>
        <w:pStyle w:val="ListParagraph"/>
        <w:numPr>
          <w:ilvl w:val="0"/>
          <w:numId w:val="5"/>
        </w:numPr>
        <w:rPr/>
      </w:pPr>
      <w:r>
        <w:rPr/>
        <w:t>Wykonawca zapewnia możliwość odpłatnego serwisu pogwarancyjnego na okres minimum ………. lat</w:t>
      </w:r>
      <w:r>
        <w:rPr>
          <w:rStyle w:val="Zakotwiczenieprzypisudolnego"/>
        </w:rPr>
        <w:footnoteReference w:id="12"/>
      </w:r>
      <w:r>
        <w:rPr/>
        <w:t>.</w:t>
      </w:r>
    </w:p>
    <w:p>
      <w:pPr>
        <w:pStyle w:val="ListParagraph"/>
        <w:numPr>
          <w:ilvl w:val="0"/>
          <w:numId w:val="5"/>
        </w:numPr>
        <w:rPr/>
      </w:pPr>
      <w:r>
        <w:rPr/>
        <w:t>Okres gwarancji i rękojmi przedłuża się o czas wykonania napraw.</w:t>
      </w:r>
    </w:p>
    <w:p>
      <w:pPr>
        <w:pStyle w:val="ListParagraph"/>
        <w:numPr>
          <w:ilvl w:val="0"/>
          <w:numId w:val="5"/>
        </w:numPr>
        <w:rPr/>
      </w:pPr>
      <w:r>
        <w:rPr/>
        <w:t xml:space="preserve">W przypadku przekroczenia terminu umownego opisanego w ust. 1 lub ust. 2 lub ust. 5 z przyczyn leżących po stronie Wykonawcy,  Zamawiający może domagać się od Wykonawcy </w:t>
      </w:r>
      <w:r>
        <w:rPr>
          <w:b/>
        </w:rPr>
        <w:t>zapłacenia kary umownej</w:t>
      </w:r>
      <w:r>
        <w:rPr/>
        <w:t>, która wynosi ……% wartości wynagrodzenia, o którym mowa w § 3 ust. 1 za każdy dzień opóźnienia, jednak łączna suma kary nie może przekroczyć …… %</w:t>
      </w:r>
      <w:r>
        <w:rPr>
          <w:rStyle w:val="Zakotwiczenieprzypisudolnego"/>
        </w:rPr>
        <w:footnoteReference w:id="13"/>
      </w:r>
      <w:r>
        <w:rPr/>
        <w:t xml:space="preserve"> wartości Przedmiotu Umowy. Płatność kar umownych nastąpi w terminie 7 dni od dnia doręczenia Wykonawcy wezwania do zapłaty z podaniem przyczyn naliczenia kar umownych.</w:t>
      </w:r>
      <w:r>
        <w:rPr>
          <w:rStyle w:val="Zakotwiczenieprzypisudolnego"/>
        </w:rPr>
        <w:footnoteReference w:id="14"/>
      </w:r>
    </w:p>
    <w:p>
      <w:pPr>
        <w:pStyle w:val="ListParagraph"/>
        <w:numPr>
          <w:ilvl w:val="0"/>
          <w:numId w:val="5"/>
        </w:numPr>
        <w:rPr/>
      </w:pPr>
      <w:r>
        <w:rPr/>
        <w:t xml:space="preserve">W przypadku powstania w majątku Zamawiającego szkody przewyższającej wartość naliczonych kar umownych, która powstała w wyniki niewykonania umowy lub nienależytego wykonania umowy przez Wykonawcę, w takiej sytuacji Zamawiający może dochodzić odszkodowania na zasadach ogólnych. </w:t>
      </w:r>
    </w:p>
    <w:p>
      <w:pPr>
        <w:pStyle w:val="ListParagraph"/>
        <w:keepNext w:val="true"/>
        <w:numPr>
          <w:ilvl w:val="0"/>
          <w:numId w:val="9"/>
        </w:numPr>
        <w:spacing w:before="240" w:after="0"/>
        <w:ind w:left="357" w:hanging="357"/>
        <w:contextualSpacing w:val="false"/>
        <w:jc w:val="center"/>
        <w:rPr>
          <w:b/>
        </w:rPr>
      </w:pPr>
      <w:r>
        <w:rPr>
          <w:b/>
        </w:rPr>
        <w:t>Dane kontaktowe</w:t>
      </w:r>
    </w:p>
    <w:p>
      <w:pPr>
        <w:pStyle w:val="ListParagraph"/>
        <w:numPr>
          <w:ilvl w:val="0"/>
          <w:numId w:val="3"/>
        </w:numPr>
        <w:rPr/>
      </w:pPr>
      <w:r>
        <w:rPr/>
        <w:t>Dane kontaktowe Zamawiającego:</w:t>
      </w:r>
      <w:r>
        <w:rPr>
          <w:rStyle w:val="Annotationreference"/>
        </w:rPr>
        <w:t xml:space="preserve"> </w:t>
      </w:r>
    </w:p>
    <w:p>
      <w:pPr>
        <w:pStyle w:val="Normal"/>
        <w:rPr/>
      </w:pPr>
      <w:r>
        <w:rPr/>
        <w:t>Pan (Pani) .......................................................................................</w:t>
      </w:r>
      <w:r>
        <w:rPr>
          <w:rStyle w:val="Zakotwiczenieprzypisudolnego"/>
        </w:rPr>
        <w:footnoteReference w:id="15"/>
      </w:r>
      <w:r>
        <w:rPr/>
        <w:t xml:space="preserve">, nr telefonu: ................................. </w:t>
        <w:br/>
        <w:t>adres e-mail: ................................... .</w:t>
      </w:r>
    </w:p>
    <w:p>
      <w:pPr>
        <w:pStyle w:val="ListParagraph"/>
        <w:numPr>
          <w:ilvl w:val="0"/>
          <w:numId w:val="3"/>
        </w:numPr>
        <w:rPr/>
      </w:pPr>
      <w:r>
        <w:rPr/>
        <w:t>Upoważnionym przedstawicielem Wykonawcy jest</w:t>
      </w:r>
    </w:p>
    <w:p>
      <w:pPr>
        <w:pStyle w:val="Normal"/>
        <w:rPr/>
      </w:pPr>
      <w:r>
        <w:rPr/>
        <w:t xml:space="preserve">Pan (Pani) ............................................................................................, nr telefonu: ................................. </w:t>
        <w:br/>
        <w:t xml:space="preserve">adres e-mail: .................................... </w:t>
      </w:r>
    </w:p>
    <w:p>
      <w:pPr>
        <w:pStyle w:val="Normal"/>
        <w:jc w:val="center"/>
        <w:rPr>
          <w:b/>
        </w:rPr>
      </w:pPr>
      <w:r>
        <w:rPr>
          <w:b/>
        </w:rPr>
        <w:t xml:space="preserve">§ 7 Ochrona danych osobowych </w:t>
      </w:r>
    </w:p>
    <w:p>
      <w:pPr>
        <w:pStyle w:val="ListParagraph"/>
        <w:numPr>
          <w:ilvl w:val="0"/>
          <w:numId w:val="6"/>
        </w:numPr>
        <w:rPr/>
      </w:pPr>
      <w:r>
        <w:rPr/>
        <w:t>Strony oświadczają, że w celu realizacji przedmiotu niniejszej Umowy powierzają drugiej stronie swoje dane osobowe w rozumieniu Rozporządzenia Parlamentu Europejskiego i Rady (UE) 2016/679 z 27.04.2016 r. w sprawie ochrony osób fizycznych w związku z przetwarzaniem danych osobowych i w sprawie swobodnego przepływu takich danych oraz uchylenia dyrektywy 95/46/WE (ogólne rozporządzenie o ochronie danych) (Dz. Urz. UE L 119, s. 1) oraz zgodnie z ustawą z dnia 10 maja 2018 r. o ochronie danych osobowych (t.j.: Dz. U. z 2019 r., poz. 1781 z późn. zm.)</w:t>
      </w:r>
    </w:p>
    <w:p>
      <w:pPr>
        <w:pStyle w:val="ListParagraph"/>
        <w:numPr>
          <w:ilvl w:val="0"/>
          <w:numId w:val="6"/>
        </w:numPr>
        <w:rPr/>
      </w:pPr>
      <w:r>
        <w:rPr/>
        <w:t>Wykonawca zobowiązuje się do nie ujawniania osobom trzecim jakichkolwiek danych i informacji dotyczących Zamawiającego, jakie uzyskał w związku z realizacją Umowy, chyba, że Wykonawca otrzyma od Zamawiającego pisemną zgodę na ich ujawnienie.</w:t>
      </w:r>
    </w:p>
    <w:p>
      <w:pPr>
        <w:pStyle w:val="ListParagraph"/>
        <w:numPr>
          <w:ilvl w:val="0"/>
          <w:numId w:val="6"/>
        </w:numPr>
        <w:rPr/>
      </w:pPr>
      <w:r>
        <w:rPr/>
        <w:t xml:space="preserve">Obowiązek nieujawniania danych i informacji dotyczących Zamawiającego uzyskanych w związku </w:t>
      </w:r>
    </w:p>
    <w:p>
      <w:pPr>
        <w:pStyle w:val="ListParagraph"/>
        <w:ind w:left="360" w:hanging="0"/>
        <w:rPr/>
      </w:pPr>
      <w:r>
        <w:rPr/>
        <w:t>z wykonywaniem Umowy wiąże Wykonawcę również po wygaśnięciu jak i po odstąpieniu od Umowy.</w:t>
      </w:r>
    </w:p>
    <w:p>
      <w:pPr>
        <w:pStyle w:val="ListParagraph"/>
        <w:numPr>
          <w:ilvl w:val="0"/>
          <w:numId w:val="6"/>
        </w:numPr>
        <w:rPr/>
      </w:pPr>
      <w:r>
        <w:rPr/>
        <w:t>Ograniczenia określone w ust. 2 nie dotyczą informacji uzyskanych przez Wykonawcę od osób trzecich zgodnie z prawem oraz nienaruszających zobowiązań tych osób do nie ujawniania takich informacji oraz informacji, które są publicznie znane.</w:t>
      </w:r>
    </w:p>
    <w:p>
      <w:pPr>
        <w:pStyle w:val="ListParagraph"/>
        <w:numPr>
          <w:ilvl w:val="0"/>
          <w:numId w:val="6"/>
        </w:numPr>
        <w:rPr/>
      </w:pPr>
      <w:r>
        <w:rPr/>
        <w:t>Wobec udostępnienia przez Zamawiającego danych osobowych niezbędnych do zawarcia i wykonania umowy, Wykonawca informuje, że:</w:t>
      </w:r>
    </w:p>
    <w:p>
      <w:pPr>
        <w:pStyle w:val="ListParagraph"/>
        <w:ind w:left="709" w:hanging="349"/>
        <w:rPr/>
      </w:pPr>
      <w:r>
        <w:rPr/>
        <w:t>1)</w:t>
        <w:tab/>
        <w:t>jest administratorem danych osobowych Zamawiającego w rozumieniu art. 4 ust. 7 Rozporządzenia Parlamentu Europejskiego i Rady (UE) 2016/679 z dnia 27 kwietnia 2016 r. w sprawie ochrony osób fizycznych w związku z przetwarzaniem danych osobowych i w sprawie swobodnego przepływu takich danych oraz uchylenia dyrektywy 95/46/WE (ogólne rozporządzenie o ochronie danych, dalej RODO), .............................................................. (nazwa i forma prawna) z siedzibą w ………………………. ul. .............................,  NIP: .................., wpisaną do rejestru przedsiębiorców prowadzonego przez Sąd Rejonowy w ……………., pod numerem KRS ………………………………, z którym można się skontaktować:</w:t>
      </w:r>
    </w:p>
    <w:p>
      <w:pPr>
        <w:pStyle w:val="ListParagraph"/>
        <w:ind w:left="993" w:hanging="284"/>
        <w:rPr/>
      </w:pPr>
      <w:r>
        <w:rPr/>
        <w:t>•</w:t>
      </w:r>
      <w:r>
        <w:rPr/>
        <w:tab/>
        <w:t>listownie (pocztą tradycyjną), pisząc na adres …………………………………………………………………… ………………………………………………………………………………………………………………………………………….</w:t>
      </w:r>
    </w:p>
    <w:p>
      <w:pPr>
        <w:pStyle w:val="ListParagraph"/>
        <w:ind w:left="993" w:hanging="284"/>
        <w:rPr/>
      </w:pPr>
      <w:r>
        <w:rPr/>
        <w:t>•</w:t>
      </w:r>
      <w:r>
        <w:rPr/>
        <w:tab/>
        <w:t>za pomocą poczty elektronicznej pod adresem e-mail: ……………………………………………………… ………………………………………………………………………………………………………………………………………….</w:t>
      </w:r>
    </w:p>
    <w:p>
      <w:pPr>
        <w:pStyle w:val="ListParagraph"/>
        <w:ind w:left="993" w:hanging="284"/>
        <w:rPr/>
      </w:pPr>
      <w:r>
        <w:rPr/>
        <w:t>•</w:t>
      </w:r>
      <w:r>
        <w:rPr/>
        <w:tab/>
        <w:t>telefonicznie pod numerem telefonu: ……………………………………………………………………………..</w:t>
      </w:r>
    </w:p>
    <w:p>
      <w:pPr>
        <w:pStyle w:val="ListParagraph"/>
        <w:ind w:left="709" w:hanging="349"/>
        <w:rPr/>
      </w:pPr>
      <w:r>
        <w:rPr/>
        <w:t>2)</w:t>
        <w:tab/>
        <w:t>jeśli został wyznaczony Inspektor Ochrony Danych to można się z nim skontaktować</w:t>
      </w:r>
    </w:p>
    <w:p>
      <w:pPr>
        <w:pStyle w:val="ListParagraph"/>
        <w:ind w:left="993" w:hanging="284"/>
        <w:rPr/>
      </w:pPr>
      <w:r>
        <w:rPr/>
        <w:t>•</w:t>
      </w:r>
      <w:r>
        <w:rPr/>
        <w:tab/>
        <w:t>listownie (pocztą tradycyjną), pisząc na adres …………………………………………………………………… ………………………………………………………………………………………………………………………………………….</w:t>
      </w:r>
    </w:p>
    <w:p>
      <w:pPr>
        <w:pStyle w:val="ListParagraph"/>
        <w:ind w:left="993" w:hanging="284"/>
        <w:rPr/>
      </w:pPr>
      <w:r>
        <w:rPr/>
        <w:t>•</w:t>
      </w:r>
      <w:r>
        <w:rPr/>
        <w:tab/>
        <w:t>za pomocą poczty elektronicznej pod adresem e-mail: ……………………………………………………… ………………………………………………………………………………………………………………………………………….</w:t>
      </w:r>
    </w:p>
    <w:p>
      <w:pPr>
        <w:pStyle w:val="ListParagraph"/>
        <w:ind w:left="993" w:hanging="284"/>
        <w:rPr/>
      </w:pPr>
      <w:r>
        <w:rPr/>
        <w:t>•</w:t>
      </w:r>
      <w:r>
        <w:rPr/>
        <w:tab/>
        <w:t>telefonicznie pod numerem telefonu: ……………………………………………………………………………..</w:t>
      </w:r>
    </w:p>
    <w:p>
      <w:pPr>
        <w:pStyle w:val="ListParagraph"/>
        <w:ind w:left="709" w:hanging="349"/>
        <w:rPr/>
      </w:pPr>
      <w:r>
        <w:rPr/>
        <w:t>3)</w:t>
        <w:tab/>
        <w:t>dane osobowe Zamawiającego będą przetwarzane w celu zawarcia i wykonania umowy z Wykonawcą, której jest on stroną, na podstawie art. 6 ust. 1 lit b) RODO (przetwarzanie jest niezbędne w celu zawarcia i wykonania umowy), c) RODO (przetwarzanie jest niezbędne do wypełnienia obowiązku prawnego, który ciąży na administratorze danych) oraz lit. f) RODO (tzn. przetwarzanie jest niezbędne do ustalenia, dochodzenia lub obrony roszczeń).</w:t>
      </w:r>
    </w:p>
    <w:p>
      <w:pPr>
        <w:pStyle w:val="ListParagraph"/>
        <w:ind w:left="709" w:hanging="349"/>
        <w:rPr/>
      </w:pPr>
      <w:r>
        <w:rPr/>
        <w:t>4)</w:t>
        <w:tab/>
        <w:t>dane osobowe Zamawiającego będą przechowywane przez okres wykonania umowy, którą Zamawiający zawarł z Wykonawcą. Po tym czasie dane będą przetwarzane tak długo, jak jest to wymagane przez przepisy prawa lub ustalenia, dochodzenia lub obrony roszczeń związanych z zawartą umową z Zamawiającym.</w:t>
      </w:r>
    </w:p>
    <w:p>
      <w:pPr>
        <w:pStyle w:val="ListParagraph"/>
        <w:ind w:left="709" w:hanging="349"/>
        <w:rPr/>
      </w:pPr>
      <w:r>
        <w:rPr/>
        <w:t>5)</w:t>
        <w:tab/>
        <w:t>Zamawiający posiada prawo dostępu do treści swoich danych oraz prawo ich sprostowania, usunięcia, ograniczenia przetwarzania, prawo do przenoszenia danych, prawo wniesienia sprzeciwu, które mogą być realizowane w trybie i na zasadach określonych w RODO;</w:t>
      </w:r>
    </w:p>
    <w:p>
      <w:pPr>
        <w:pStyle w:val="ListParagraph"/>
        <w:ind w:left="709" w:hanging="349"/>
        <w:rPr/>
      </w:pPr>
      <w:r>
        <w:rPr/>
        <w:t>6)</w:t>
        <w:tab/>
        <w:t>Zamawiający ma prawo wniesienia skargi do Prezesa Urzędu Ochrony Danych Osobowych, gdy uzna, iż przetwarzanie danych osobowych dotyczących Zamawiającego narusza przepisy RODO;</w:t>
      </w:r>
    </w:p>
    <w:p>
      <w:pPr>
        <w:pStyle w:val="ListParagraph"/>
        <w:ind w:left="709" w:hanging="349"/>
        <w:rPr/>
      </w:pPr>
      <w:r>
        <w:rPr/>
        <w:t>7)</w:t>
        <w:tab/>
        <w:t>zgodnie z obowiązującymi przepisami prawa w zakresie ochrony danych osobowych, dane osobowe Zamawiającego mogą być przekazane przez Wykonawcę:</w:t>
      </w:r>
    </w:p>
    <w:p>
      <w:pPr>
        <w:pStyle w:val="ListParagraph"/>
        <w:ind w:left="993" w:hanging="284"/>
        <w:rPr/>
      </w:pPr>
      <w:r>
        <w:rPr/>
        <w:t>•</w:t>
      </w:r>
      <w:r>
        <w:rPr/>
        <w:tab/>
        <w:t>operatorom pocztowym i firmom kurierskim,</w:t>
      </w:r>
    </w:p>
    <w:p>
      <w:pPr>
        <w:pStyle w:val="ListParagraph"/>
        <w:ind w:left="993" w:hanging="284"/>
        <w:rPr/>
      </w:pPr>
      <w:r>
        <w:rPr/>
        <w:t>•</w:t>
      </w:r>
      <w:r>
        <w:rPr/>
        <w:tab/>
        <w:t>podmiotom, którym zlecił usługi związane z przetwarzaniem danych osobowych, w tym dostawcom usług informatycznych, dostawcom usług księgowo – finansowych. Podmioty te przetwarzają dane osobowe na podstawie umowy z Wykonawcą i zgodnie z poleceniami Wykonawcy,</w:t>
      </w:r>
    </w:p>
    <w:p>
      <w:pPr>
        <w:pStyle w:val="ListParagraph"/>
        <w:ind w:left="993" w:hanging="284"/>
        <w:rPr/>
      </w:pPr>
      <w:r>
        <w:rPr/>
        <w:t>•</w:t>
      </w:r>
      <w:r>
        <w:rPr/>
        <w:tab/>
        <w:t>wyłącznie podmiotom, które uprawnione są do ich otrzymania przepisami prawa;</w:t>
      </w:r>
    </w:p>
    <w:p>
      <w:pPr>
        <w:pStyle w:val="ListParagraph"/>
        <w:ind w:left="709" w:hanging="349"/>
        <w:rPr/>
      </w:pPr>
      <w:r>
        <w:rPr/>
        <w:t>8)</w:t>
        <w:tab/>
        <w:t>podanie przez Zamawiającego danych osobowych jest dobrowolne lecz niezbędne do zawarcia i wykonania niniejszej Umowy;</w:t>
      </w:r>
    </w:p>
    <w:p>
      <w:pPr>
        <w:pStyle w:val="ListParagraph"/>
        <w:ind w:left="709" w:hanging="349"/>
        <w:rPr/>
      </w:pPr>
      <w:r>
        <w:rPr/>
        <w:t>9)</w:t>
        <w:tab/>
        <w:t>dane osobowe Zamawiającego nie są wykorzystywane w celu podejmowania decyzji, która opiera się wyłącznie na zautomatyzowanym przetwarzaniu, w tym profilowaniu ;</w:t>
      </w:r>
    </w:p>
    <w:p>
      <w:pPr>
        <w:pStyle w:val="ListParagraph"/>
        <w:ind w:left="709" w:hanging="349"/>
        <w:rPr/>
      </w:pPr>
      <w:r>
        <w:rPr/>
        <w:t>10)</w:t>
        <w:tab/>
        <w:t>Pani/Pana dane nie będą przekazane odbiorcom w państwach znajdujących się poza Unią Europejską i Europejskim Obszarem Gospodarczym lub do organizacji międzynarodowej .</w:t>
      </w:r>
    </w:p>
    <w:p>
      <w:pPr>
        <w:pStyle w:val="ListParagraph"/>
        <w:numPr>
          <w:ilvl w:val="0"/>
          <w:numId w:val="6"/>
        </w:numPr>
        <w:rPr/>
      </w:pPr>
      <w:r>
        <w:rPr/>
        <w:t xml:space="preserve">Informacje dotyczące przetwarzania danych osobowych w WFOŚiGW znajdują się na stronie internetowej właściwego miejscowo wfośigw oraz dokumentach Programu, o którym mowa </w:t>
        <w:br/>
        <w:t>w § 2.</w:t>
      </w:r>
    </w:p>
    <w:p>
      <w:pPr>
        <w:pStyle w:val="Normal"/>
        <w:jc w:val="center"/>
        <w:rPr>
          <w:b/>
        </w:rPr>
      </w:pPr>
      <w:r>
        <w:rPr>
          <w:b/>
        </w:rPr>
        <w:t>§ 8 Postanowienia końcowe</w:t>
      </w:r>
    </w:p>
    <w:p>
      <w:pPr>
        <w:pStyle w:val="ListParagraph"/>
        <w:numPr>
          <w:ilvl w:val="0"/>
          <w:numId w:val="7"/>
        </w:numPr>
        <w:spacing w:lineRule="auto" w:line="240" w:before="0" w:after="120"/>
        <w:ind w:left="284" w:hanging="284"/>
        <w:contextualSpacing/>
        <w:rPr/>
      </w:pPr>
      <w:r>
        <w:rPr/>
        <w:t xml:space="preserve"> </w:t>
      </w:r>
      <w:r>
        <w:rPr/>
        <w:t>Wszelkie zmiany Umowy  wymagają formy pisemnej pod rygorem nieważności.</w:t>
      </w:r>
    </w:p>
    <w:p>
      <w:pPr>
        <w:pStyle w:val="ListParagraph"/>
        <w:numPr>
          <w:ilvl w:val="0"/>
          <w:numId w:val="7"/>
        </w:numPr>
        <w:ind w:left="284" w:hanging="284"/>
        <w:rPr/>
      </w:pPr>
      <w:r>
        <w:rPr/>
        <w:t>Strony postarają się spory wynikłe z wykonania niniejszej umowy rozwiązywać polubownie, a jeśli nie będzie to możliwe przekazać je do rozstrzygnięcia przez Sąd właściwy dla miejsca zamieszkania Zamawiającego.</w:t>
      </w:r>
    </w:p>
    <w:p>
      <w:pPr>
        <w:pStyle w:val="Normal"/>
        <w:spacing w:before="0" w:after="120"/>
        <w:ind w:left="284" w:hanging="284"/>
        <w:rPr/>
      </w:pPr>
      <w:r>
        <w:rPr/>
        <w:t>3.</w:t>
        <w:tab/>
        <w:t xml:space="preserve">Umowa zostaje zawarta z chwilą jej podpisania przez każdą ze Stron. </w:t>
      </w:r>
    </w:p>
    <w:p>
      <w:pPr>
        <w:pStyle w:val="Normal"/>
        <w:spacing w:before="0" w:after="120"/>
        <w:ind w:left="284" w:hanging="284"/>
        <w:rPr/>
      </w:pPr>
      <w:r>
        <w:rPr/>
        <w:t>4.</w:t>
        <w:tab/>
        <w:t>Umowa obowiązuje pod warunkiem udzielenia Zamawiającemu dotacji, o której mowa w § 2 ust. 1 przez WFOŚiGW. W przypadku braku udzielenia dotacji Umowa ulega automatycznemu rozwiązaniu bez potrzeby składania dodatkowych oświadczeń. Zamawiający zobowiązuje się do niezwłocznego poinformowania Wykonawcy o podjętej przez WFOŚiGW decyzji w tym zakresie.</w:t>
      </w:r>
    </w:p>
    <w:p>
      <w:pPr>
        <w:pStyle w:val="Normal"/>
        <w:spacing w:lineRule="auto" w:line="240" w:before="0" w:after="120"/>
        <w:ind w:left="284" w:hanging="284"/>
        <w:rPr/>
      </w:pPr>
      <w:r>
        <w:rPr/>
        <w:t>5.</w:t>
        <w:tab/>
        <w:t>Umowa sporządzona została w dwóch jednobrzmiących egzemplarzach, po jednym egzemplarzu dla każdej ze stron.</w:t>
      </w:r>
    </w:p>
    <w:p>
      <w:pPr>
        <w:pStyle w:val="Normal"/>
        <w:rPr/>
      </w:pPr>
      <w:r>
        <w:rPr/>
      </w:r>
    </w:p>
    <w:tbl>
      <w:tblPr>
        <w:tblStyle w:val="Tabela-Siatka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531"/>
        <w:gridCol w:w="4530"/>
      </w:tblGrid>
      <w:tr>
        <w:trPr/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before="0" w:after="200"/>
              <w:jc w:val="center"/>
              <w:rPr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kern w:val="0"/>
                <w:sz w:val="22"/>
                <w:szCs w:val="22"/>
                <w:lang w:val="pl-PL" w:eastAsia="en-US" w:bidi="ar-SA"/>
              </w:rPr>
              <w:t>Wykonawca: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before="0" w:after="200"/>
              <w:jc w:val="center"/>
              <w:rPr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kern w:val="0"/>
                <w:sz w:val="22"/>
                <w:szCs w:val="22"/>
                <w:lang w:val="pl-PL" w:eastAsia="en-US" w:bidi="ar-SA"/>
              </w:rPr>
              <w:t>Zamawiający:</w:t>
            </w:r>
          </w:p>
        </w:tc>
      </w:tr>
      <w:tr>
        <w:trPr/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before="0" w:after="200"/>
              <w:jc w:val="center"/>
              <w:rPr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Normal"/>
              <w:widowControl/>
              <w:spacing w:before="0" w:after="200"/>
              <w:jc w:val="center"/>
              <w:rPr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Normal"/>
              <w:widowControl/>
              <w:spacing w:before="0" w:after="200"/>
              <w:jc w:val="center"/>
              <w:rPr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Normal"/>
              <w:widowControl/>
              <w:spacing w:before="0" w:after="200"/>
              <w:jc w:val="center"/>
              <w:rPr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kern w:val="0"/>
                <w:sz w:val="22"/>
                <w:szCs w:val="22"/>
                <w:lang w:val="pl-PL" w:eastAsia="en-US" w:bidi="ar-SA"/>
              </w:rPr>
              <w:t>...........................................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before="0" w:after="200"/>
              <w:jc w:val="center"/>
              <w:rPr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Normal"/>
              <w:widowControl/>
              <w:spacing w:before="0" w:after="200"/>
              <w:jc w:val="center"/>
              <w:rPr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Normal"/>
              <w:widowControl/>
              <w:spacing w:before="0" w:after="200"/>
              <w:jc w:val="center"/>
              <w:rPr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Normal"/>
              <w:widowControl/>
              <w:spacing w:before="0" w:after="200"/>
              <w:jc w:val="center"/>
              <w:rPr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kern w:val="0"/>
                <w:sz w:val="22"/>
                <w:szCs w:val="22"/>
                <w:lang w:val="pl-PL" w:eastAsia="en-US" w:bidi="ar-SA"/>
              </w:rPr>
              <w:t>...........................................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pacing w:lineRule="auto" w:line="259" w:before="0" w:after="31"/>
        <w:ind w:left="192" w:hanging="0"/>
        <w:jc w:val="center"/>
        <w:rPr>
          <w:b/>
        </w:rPr>
      </w:pPr>
      <w:r>
        <w:rPr>
          <w:b/>
        </w:rPr>
        <w:t>Klauzula informacyjna o przetwarzaniu danych osobowych Wykonawcy</w:t>
      </w:r>
    </w:p>
    <w:p>
      <w:pPr>
        <w:pStyle w:val="Normal"/>
        <w:spacing w:lineRule="auto" w:line="259" w:before="0" w:after="31"/>
        <w:ind w:left="192" w:hanging="0"/>
        <w:jc w:val="center"/>
        <w:rPr/>
      </w:pPr>
      <w:r>
        <w:rPr>
          <w:b/>
        </w:rPr>
        <w:t xml:space="preserve">przez Wojewódzki Fundusz Ochrony Środowiska i Gospodarki Wodnej w </w:t>
      </w:r>
      <w:r>
        <w:rPr>
          <w:b/>
        </w:rPr>
        <w:t>Katowicach</w:t>
      </w:r>
    </w:p>
    <w:p>
      <w:pPr>
        <w:pStyle w:val="Normal"/>
        <w:spacing w:lineRule="auto" w:line="259" w:before="0" w:after="0"/>
        <w:jc w:val="center"/>
        <w:rPr/>
      </w:pPr>
      <w:r>
        <w:rPr>
          <w:b/>
        </w:rPr>
        <w:t xml:space="preserve"> </w:t>
      </w:r>
    </w:p>
    <w:p>
      <w:pPr>
        <w:pStyle w:val="Normal"/>
        <w:spacing w:lineRule="auto" w:line="240" w:before="60" w:after="0"/>
        <w:ind w:left="-15" w:right="36" w:hanging="0"/>
        <w:rPr>
          <w:sz w:val="20"/>
          <w:szCs w:val="20"/>
        </w:rPr>
      </w:pPr>
      <w:r>
        <w:rPr>
          <w:sz w:val="20"/>
          <w:szCs w:val="20"/>
        </w:rPr>
        <w:t xml:space="preserve">Zgodnie z art. 14 Rozporządzenia Parlamentu Europejskiego i Rady (UE) 2016/679 w sprawie ochrony osób fizycznych w związku z przetwarzaniem danych osobowych i w sprawie swobodnego przepływu takich danych oraz uchylenia Dyrektywy 95/46 z dnia 27 kwietnia 2016 r. (Dz. Urz. UE L 119 z 04.05.2016), zwanego dalej „RODO”, Wojewódzki Fundusz Ochrony Środowiska i Gospodarki Wodnej w </w:t>
      </w:r>
      <w:r>
        <w:rPr>
          <w:sz w:val="20"/>
          <w:szCs w:val="20"/>
        </w:rPr>
        <w:t>Katowicach</w:t>
      </w:r>
      <w:r>
        <w:rPr>
          <w:sz w:val="20"/>
          <w:szCs w:val="20"/>
        </w:rPr>
        <w:t xml:space="preserve"> informuje, że:  </w:t>
      </w:r>
    </w:p>
    <w:p>
      <w:pPr>
        <w:pStyle w:val="Normal"/>
        <w:numPr>
          <w:ilvl w:val="0"/>
          <w:numId w:val="10"/>
        </w:numPr>
        <w:spacing w:lineRule="auto" w:line="240" w:before="60" w:after="0"/>
        <w:ind w:left="426" w:right="36" w:hanging="426"/>
        <w:rPr>
          <w:sz w:val="20"/>
          <w:szCs w:val="20"/>
        </w:rPr>
      </w:pPr>
      <w:r>
        <w:rPr>
          <w:sz w:val="20"/>
          <w:szCs w:val="20"/>
        </w:rPr>
        <w:t xml:space="preserve">Administratorem danych osobowych jest Wojewódzki Fundusz Ochrony Środowiska i Gospodarki Wodnej w </w:t>
      </w:r>
      <w:r>
        <w:rPr>
          <w:sz w:val="20"/>
          <w:szCs w:val="20"/>
        </w:rPr>
        <w:t>Katowicach</w:t>
      </w:r>
      <w:r>
        <w:rPr>
          <w:sz w:val="20"/>
          <w:szCs w:val="20"/>
        </w:rPr>
        <w:t xml:space="preserve">, ul. </w:t>
      </w:r>
      <w:r>
        <w:rPr>
          <w:sz w:val="20"/>
          <w:szCs w:val="20"/>
        </w:rPr>
        <w:t>Plebiscytowa 19, 40-035 Katowice</w:t>
      </w:r>
      <w:r>
        <w:rPr>
          <w:sz w:val="20"/>
          <w:szCs w:val="20"/>
        </w:rPr>
        <w:t xml:space="preserve"> tel. </w:t>
      </w:r>
      <w:r>
        <w:rPr>
          <w:sz w:val="20"/>
          <w:szCs w:val="20"/>
        </w:rPr>
        <w:t>32 603 22 00</w:t>
      </w:r>
    </w:p>
    <w:p>
      <w:pPr>
        <w:pStyle w:val="Normal"/>
        <w:numPr>
          <w:ilvl w:val="0"/>
          <w:numId w:val="10"/>
        </w:numPr>
        <w:spacing w:lineRule="auto" w:line="240" w:before="60" w:after="0"/>
        <w:ind w:left="426" w:right="36" w:hanging="426"/>
        <w:rPr>
          <w:sz w:val="20"/>
          <w:szCs w:val="20"/>
        </w:rPr>
      </w:pPr>
      <w:r>
        <w:rPr>
          <w:sz w:val="20"/>
          <w:szCs w:val="20"/>
        </w:rPr>
        <w:t xml:space="preserve">Powołany jest Inspektor Ochrony Danych, z którym można się skontaktować elektronicznie: </w:t>
      </w:r>
      <w:r>
        <w:rPr>
          <w:sz w:val="20"/>
          <w:szCs w:val="20"/>
        </w:rPr>
        <w:t>iod@wfosigw.katowice.pl</w:t>
      </w:r>
    </w:p>
    <w:p>
      <w:pPr>
        <w:pStyle w:val="Normal"/>
        <w:numPr>
          <w:ilvl w:val="0"/>
          <w:numId w:val="10"/>
        </w:numPr>
        <w:spacing w:lineRule="auto" w:line="240" w:before="60" w:after="0"/>
        <w:ind w:left="426" w:right="36" w:hanging="426"/>
        <w:rPr>
          <w:sz w:val="20"/>
          <w:szCs w:val="20"/>
        </w:rPr>
      </w:pPr>
      <w:r>
        <w:rPr>
          <w:sz w:val="20"/>
          <w:szCs w:val="20"/>
        </w:rPr>
        <w:t xml:space="preserve">Pani/Pana dane osobowe będą przetwarzane na podstawie art. 6 ust. 1: lit c) RODO (tzn. przetwarzanie jest niezbędne do wypełnienia obowiązku prawnego wynikającego w szczególności z  ustawy Prawo Ochrony Środowiska) oraz lit e) RODO (tzn. przetwarzanie jest niezbędne do wykonania zadania realizowanego w interesie publicznym) </w:t>
      </w:r>
      <w:bookmarkStart w:id="1" w:name="_Hlk121391041"/>
      <w:r>
        <w:rPr>
          <w:sz w:val="20"/>
          <w:szCs w:val="20"/>
        </w:rPr>
        <w:t>w celu udzielenia pomocy finansowej w związku z realizacją  Programu Priorytetowego „Czyste Powietrze”</w:t>
      </w:r>
      <w:bookmarkEnd w:id="1"/>
      <w:r>
        <w:rPr>
          <w:sz w:val="20"/>
          <w:szCs w:val="20"/>
        </w:rPr>
        <w:t xml:space="preserve">.  </w:t>
      </w:r>
    </w:p>
    <w:p>
      <w:pPr>
        <w:pStyle w:val="Normal"/>
        <w:numPr>
          <w:ilvl w:val="0"/>
          <w:numId w:val="10"/>
        </w:numPr>
        <w:spacing w:lineRule="auto" w:line="240" w:before="60" w:after="0"/>
        <w:ind w:left="426" w:right="36" w:hanging="426"/>
        <w:rPr>
          <w:sz w:val="20"/>
          <w:szCs w:val="20"/>
        </w:rPr>
      </w:pPr>
      <w:r>
        <w:rPr>
          <w:sz w:val="20"/>
          <w:szCs w:val="20"/>
        </w:rPr>
        <w:t xml:space="preserve">Pani/Pana dane osobowe otrzymaliśmy od Wnioskodawcy, z którym zawarł/a Pani/Pan umowę określoną w pkt 3 powyżej. Administrator będzie przetwarzał następujące kategorie danych  tj. imię i nazwisko, nr telefonu, adres e-mail, NIP, KRS, CEIDG, nr rachunku bankowego.  </w:t>
      </w:r>
    </w:p>
    <w:p>
      <w:pPr>
        <w:pStyle w:val="Normal"/>
        <w:numPr>
          <w:ilvl w:val="0"/>
          <w:numId w:val="10"/>
        </w:numPr>
        <w:spacing w:lineRule="auto" w:line="240" w:before="60" w:after="0"/>
        <w:ind w:left="426" w:right="36" w:hanging="426"/>
        <w:rPr>
          <w:sz w:val="20"/>
          <w:szCs w:val="20"/>
        </w:rPr>
      </w:pPr>
      <w:r>
        <w:rPr>
          <w:sz w:val="20"/>
          <w:szCs w:val="20"/>
        </w:rPr>
        <w:t xml:space="preserve">Pani/Pana dane osobowe będą przetwarzane przez okres realizacji zadań, o których mowa w pkt 3) oraz przez okres wynikający z obowiązujących w tym zakresie przepisów archiwizacyjnych.  </w:t>
      </w:r>
    </w:p>
    <w:p>
      <w:pPr>
        <w:pStyle w:val="Normal"/>
        <w:numPr>
          <w:ilvl w:val="0"/>
          <w:numId w:val="10"/>
        </w:numPr>
        <w:spacing w:lineRule="auto" w:line="240" w:before="60" w:after="0"/>
        <w:ind w:left="426" w:right="36" w:hanging="426"/>
        <w:rPr>
          <w:sz w:val="20"/>
          <w:szCs w:val="20"/>
        </w:rPr>
      </w:pPr>
      <w:r>
        <w:rPr>
          <w:sz w:val="20"/>
          <w:szCs w:val="20"/>
        </w:rPr>
        <w:t xml:space="preserve">Prawo dostępu do treści swoich danych oraz prawo ich sprostowania, ograniczenia przetwarzania, prawo do przenoszenia danych, prawo wniesienia sprzeciwu, mogą być realizowane w trybie i na zasadach określonych w RODO.  </w:t>
      </w:r>
    </w:p>
    <w:p>
      <w:pPr>
        <w:pStyle w:val="Normal"/>
        <w:numPr>
          <w:ilvl w:val="0"/>
          <w:numId w:val="10"/>
        </w:numPr>
        <w:spacing w:lineRule="auto" w:line="240" w:before="60" w:after="0"/>
        <w:ind w:left="426" w:right="36" w:hanging="426"/>
        <w:rPr>
          <w:sz w:val="20"/>
          <w:szCs w:val="20"/>
        </w:rPr>
      </w:pPr>
      <w:r>
        <w:rPr>
          <w:sz w:val="20"/>
          <w:szCs w:val="20"/>
        </w:rPr>
        <w:t xml:space="preserve">Ma Pani/Pan prawo wniesienia skargi do organu nadzorczego, którym jest Prezes Urzędu Ochrony Danych Osobowych, gdy uzna Pani/Pan, iż przetwarzanie danych osobowych Pani/Pana dotyczących narusza przepisy RODO.  </w:t>
      </w:r>
    </w:p>
    <w:p>
      <w:pPr>
        <w:pStyle w:val="Normal"/>
        <w:numPr>
          <w:ilvl w:val="0"/>
          <w:numId w:val="10"/>
        </w:numPr>
        <w:spacing w:lineRule="auto" w:line="240" w:before="60" w:after="0"/>
        <w:ind w:left="426" w:right="36" w:hanging="426"/>
        <w:rPr>
          <w:sz w:val="20"/>
          <w:szCs w:val="20"/>
        </w:rPr>
      </w:pPr>
      <w:r>
        <w:rPr>
          <w:sz w:val="20"/>
          <w:szCs w:val="20"/>
        </w:rPr>
        <w:t xml:space="preserve">Podanie przez Panią/Pana danych osobowych jest dobrowolne, ale niezbędne w celu realizacji zadań, o których mowa w pkt 3).  </w:t>
      </w:r>
    </w:p>
    <w:p>
      <w:pPr>
        <w:pStyle w:val="Normal"/>
        <w:numPr>
          <w:ilvl w:val="0"/>
          <w:numId w:val="10"/>
        </w:numPr>
        <w:spacing w:lineRule="auto" w:line="240" w:before="60" w:after="0"/>
        <w:ind w:left="426" w:right="36" w:hanging="426"/>
        <w:rPr>
          <w:sz w:val="20"/>
          <w:szCs w:val="20"/>
        </w:rPr>
      </w:pPr>
      <w:r>
        <w:rPr>
          <w:sz w:val="20"/>
          <w:szCs w:val="20"/>
        </w:rPr>
        <w:t xml:space="preserve">Odbiorcami Pani/Pana danych osobowych będą te podmioty, którym administrator danych osobowych, ma obowiązek przekazywać dane na gruncie obowiązujących przepisów prawa oraz podmioty przetwarzające dane osobowe na zlecenie administratora danych osobowych, w związku z wykonywaniem powierzonego im zadania w drodze zawartej umowy lub porozumienia, m.in. dostawcy IT.  </w:t>
      </w:r>
    </w:p>
    <w:p>
      <w:pPr>
        <w:pStyle w:val="Normal"/>
        <w:numPr>
          <w:ilvl w:val="0"/>
          <w:numId w:val="10"/>
        </w:numPr>
        <w:spacing w:lineRule="auto" w:line="240" w:before="60" w:after="0"/>
        <w:ind w:left="426" w:right="36" w:hanging="426"/>
        <w:rPr>
          <w:sz w:val="20"/>
          <w:szCs w:val="20"/>
        </w:rPr>
      </w:pPr>
      <w:r>
        <w:rPr>
          <w:sz w:val="20"/>
          <w:szCs w:val="20"/>
        </w:rPr>
        <w:t xml:space="preserve">Pani/Pana dane nie będą poddane zautomatyzowanemu podejmowaniu decyzji. </w:t>
      </w:r>
    </w:p>
    <w:p>
      <w:pPr>
        <w:pStyle w:val="Normal"/>
        <w:numPr>
          <w:ilvl w:val="0"/>
          <w:numId w:val="10"/>
        </w:numPr>
        <w:spacing w:lineRule="auto" w:line="240" w:before="60" w:after="0"/>
        <w:ind w:left="426" w:right="36" w:hanging="426"/>
        <w:rPr>
          <w:sz w:val="20"/>
          <w:szCs w:val="20"/>
        </w:rPr>
      </w:pPr>
      <w:r>
        <w:rPr>
          <w:sz w:val="20"/>
          <w:szCs w:val="20"/>
        </w:rPr>
        <w:t xml:space="preserve">Pani/Pana dane nie będą przekazane odbiorcom w państwach znajdujących się poza Unią </w:t>
        <w:br/>
        <w:t>Europejską i Europejskim Obszarem Gospodarczym lub do organizacji międzynarodowej</w:t>
      </w:r>
    </w:p>
    <w:p>
      <w:pPr>
        <w:pStyle w:val="Normal"/>
        <w:widowControl/>
        <w:bidi w:val="0"/>
        <w:spacing w:lineRule="auto" w:line="276" w:before="0" w:after="200"/>
        <w:jc w:val="both"/>
        <w:rPr/>
      </w:pPr>
      <w:r>
        <w:rPr/>
      </w:r>
    </w:p>
    <w:sectPr>
      <w:headerReference w:type="default" r:id="rId24"/>
      <w:footerReference w:type="default" r:id="rId25"/>
      <w:footnotePr>
        <w:numFmt w:val="decimal"/>
      </w:footnotePr>
      <w:type w:val="nextPage"/>
      <w:pgSz w:w="11906" w:h="16838"/>
      <w:pgMar w:left="1417" w:right="1417" w:gutter="0" w:header="708" w:top="1417" w:footer="708" w:bottom="1701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ourier New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ahoma">
    <w:charset w:val="ee"/>
    <w:family w:val="roman"/>
    <w:pitch w:val="variable"/>
  </w:font>
  <w:font w:name="Arial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  <w:docPartGallery w:val="Page Numbers (Top of Page)"/>
        <w:docPartUnique w:val="true"/>
      </w:docPartObj>
      <w:id w:val="1053147651"/>
    </w:sdtPr>
    <w:sdtContent>
      <w:p>
        <w:pPr>
          <w:pStyle w:val="Stopka"/>
          <w:jc w:val="center"/>
          <w:rPr/>
        </w:pPr>
        <w:r>
          <w:rPr/>
          <w:t xml:space="preserve">Strona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sz w:val="24"/>
            <w:b/>
            <w:szCs w:val="24"/>
            <w:bCs/>
          </w:rPr>
          <w:instrText xml:space="preserve"> PAGE </w:instrText>
        </w:r>
        <w:r>
          <w:rPr>
            <w:sz w:val="24"/>
            <w:b/>
            <w:szCs w:val="24"/>
            <w:bCs/>
          </w:rPr>
          <w:fldChar w:fldCharType="separate"/>
        </w:r>
        <w:r>
          <w:rPr>
            <w:sz w:val="24"/>
            <w:b/>
            <w:szCs w:val="24"/>
            <w:bCs/>
          </w:rPr>
          <w:t>10</w:t>
        </w:r>
        <w:r>
          <w:rPr>
            <w:sz w:val="24"/>
            <w:b/>
            <w:szCs w:val="24"/>
            <w:bCs/>
          </w:rPr>
          <w:fldChar w:fldCharType="end"/>
        </w:r>
        <w:r>
          <w:rPr/>
          <w:t xml:space="preserve"> z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sz w:val="24"/>
            <w:b/>
            <w:szCs w:val="24"/>
            <w:bCs/>
          </w:rPr>
          <w:instrText xml:space="preserve"> NUMPAGES </w:instrText>
        </w:r>
        <w:r>
          <w:rPr>
            <w:sz w:val="24"/>
            <w:b/>
            <w:szCs w:val="24"/>
            <w:bCs/>
          </w:rPr>
          <w:fldChar w:fldCharType="separate"/>
        </w:r>
        <w:r>
          <w:rPr>
            <w:sz w:val="24"/>
            <w:b/>
            <w:szCs w:val="24"/>
            <w:bCs/>
          </w:rPr>
          <w:t>10</w:t>
        </w:r>
        <w:r>
          <w:rPr>
            <w:sz w:val="24"/>
            <w:b/>
            <w:szCs w:val="24"/>
            <w:bCs/>
          </w:rPr>
          <w:fldChar w:fldCharType="end"/>
        </w:r>
      </w:p>
    </w:sdtContent>
  </w:sdt>
  <w:p>
    <w:pPr>
      <w:pStyle w:val="Stopka"/>
      <w:rPr/>
    </w:pPr>
    <w:r>
      <w:rPr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Przypisdolny"/>
        <w:rPr>
          <w:rFonts w:ascii="Calibri" w:hAnsi="Calibri" w:cs="Calibri" w:asciiTheme="minorHAnsi" w:cstheme="minorHAnsi" w:hAnsiTheme="minorHAnsi"/>
        </w:rPr>
      </w:pPr>
      <w:r>
        <w:rPr>
          <w:rStyle w:val="Znakiprzypiswdolnych"/>
        </w:rPr>
        <w:footnoteRef/>
      </w:r>
      <w:r>
        <w:rPr/>
        <w:t xml:space="preserve"> </w:t>
      </w:r>
      <w:r>
        <w:rPr/>
        <w:t xml:space="preserve">Jeżeli </w:t>
      </w:r>
      <w:r>
        <w:rPr>
          <w:rFonts w:cs="Calibri" w:cstheme="minorHAnsi"/>
        </w:rPr>
        <w:t>dotyczy, należy wpisać pełnomocnictwo lub inny dokument, z którego wynika umocowanie reprezentującego do działania w imieniu i na rzecz Zamawiającego.</w:t>
      </w:r>
    </w:p>
  </w:footnote>
  <w:footnote w:id="3">
    <w:p>
      <w:pPr>
        <w:pStyle w:val="Przypisdolny"/>
        <w:rPr>
          <w:rFonts w:ascii="Calibri" w:hAnsi="Calibri" w:cs="Calibri" w:asciiTheme="minorHAnsi" w:cstheme="minorHAnsi" w:hAnsiTheme="minorHAnsi"/>
        </w:rPr>
      </w:pPr>
      <w:r>
        <w:rPr>
          <w:rStyle w:val="Znakiprzypiswdolnych"/>
        </w:rPr>
        <w:footnoteRef/>
      </w:r>
      <w:r>
        <w:rPr>
          <w:rFonts w:cs="Calibri" w:cstheme="minorHAnsi"/>
        </w:rPr>
        <w:t xml:space="preserve"> </w:t>
      </w:r>
      <w:r>
        <w:rPr>
          <w:rFonts w:cs="Calibri" w:cstheme="minorHAnsi"/>
        </w:rPr>
        <w:t>Należy wpisać pełnomocnictwo lub inny dokument, z którego wynika umocowanie reprezentującego do działania w imieniu i na rzecz Wykonawcy.</w:t>
      </w:r>
    </w:p>
  </w:footnote>
  <w:footnote w:id="4">
    <w:p>
      <w:pPr>
        <w:pStyle w:val="Przypisdolny"/>
        <w:rPr>
          <w:rFonts w:ascii="Calibri" w:hAnsi="Calibri" w:cs="Calibri" w:asciiTheme="minorHAnsi" w:cstheme="minorHAnsi" w:hAnsiTheme="minorHAnsi"/>
        </w:rPr>
      </w:pPr>
      <w:r>
        <w:rPr>
          <w:rStyle w:val="Znakiprzypiswdolnych"/>
        </w:rPr>
        <w:footnoteRef/>
      </w:r>
      <w:r>
        <w:rPr>
          <w:rFonts w:cs="Calibri" w:cstheme="minorHAnsi"/>
        </w:rPr>
        <w:t xml:space="preserve"> </w:t>
      </w:r>
      <w:r>
        <w:rPr>
          <w:rFonts w:cs="Calibri" w:cstheme="minorHAnsi"/>
        </w:rPr>
        <w:t>Należy wpisać pełnomocnictwo lub inny dokument, z którego wynika umocowanie reprezentującego do działania w imieniu i na rzecz Wykonawcy.</w:t>
      </w:r>
    </w:p>
  </w:footnote>
  <w:footnote w:id="5">
    <w:p>
      <w:pPr>
        <w:pStyle w:val="Przypisdolny"/>
        <w:rPr>
          <w:rFonts w:ascii="Calibri" w:hAnsi="Calibri" w:cs="Calibri" w:asciiTheme="minorHAnsi" w:cstheme="minorHAnsi" w:hAnsiTheme="minorHAnsi"/>
        </w:rPr>
      </w:pPr>
      <w:r>
        <w:rPr>
          <w:rStyle w:val="Znakiprzypiswdolnych"/>
        </w:rPr>
        <w:footnoteRef/>
      </w:r>
      <w:r>
        <w:rPr>
          <w:rFonts w:cs="Calibri" w:cstheme="minorHAnsi"/>
        </w:rPr>
        <w:t xml:space="preserve"> </w:t>
      </w:r>
      <w:r>
        <w:rPr>
          <w:rFonts w:cs="Calibri" w:cstheme="minorHAnsi"/>
        </w:rPr>
        <w:t>Należy wybrać właściwy sposób oznaczenia Wykonawcy, zgodnie z formą prawną/formą prowadzenia działalności.</w:t>
      </w:r>
    </w:p>
  </w:footnote>
  <w:footnote w:id="6">
    <w:p>
      <w:pPr>
        <w:pStyle w:val="Przypisdolny"/>
        <w:rPr/>
      </w:pPr>
      <w:r>
        <w:rPr>
          <w:rStyle w:val="Znakiprzypiswdolnych"/>
        </w:rPr>
        <w:footnoteRef/>
      </w:r>
      <w:r>
        <w:rPr>
          <w:rFonts w:cs="Calibri" w:cstheme="minorHAnsi"/>
        </w:rPr>
        <w:t xml:space="preserve"> </w:t>
      </w:r>
      <w:r>
        <w:rPr>
          <w:rFonts w:cs="Calibri" w:cstheme="minorHAnsi"/>
        </w:rPr>
        <w:t>Jeżeli dotyczy, należy wpisać pełnomocnictwo lub inny dokument, z którego wynika umocowanie reprezentującego do działania w imieniu i na rzecz Wykonawcy</w:t>
      </w:r>
    </w:p>
  </w:footnote>
  <w:footnote w:id="7">
    <w:p>
      <w:pPr>
        <w:pStyle w:val="Przypisdolny"/>
        <w:rPr/>
      </w:pPr>
      <w:r>
        <w:rPr>
          <w:rStyle w:val="Znakiprzypiswdolnych"/>
        </w:rPr>
        <w:footnoteRef/>
      </w:r>
      <w:r>
        <w:rPr/>
        <w:t xml:space="preserve"> </w:t>
      </w:r>
      <w:r>
        <w:rPr/>
        <w:t>Niepotrzebne skreślić.</w:t>
      </w:r>
    </w:p>
  </w:footnote>
  <w:footnote w:id="8">
    <w:p>
      <w:pPr>
        <w:pStyle w:val="Przypisdolny"/>
        <w:rPr/>
      </w:pPr>
      <w:r>
        <w:rPr>
          <w:rStyle w:val="Znakiprzypiswdolnych"/>
        </w:rPr>
        <w:footnoteRef/>
      </w:r>
      <w:r>
        <w:rPr/>
        <w:t xml:space="preserve"> </w:t>
      </w:r>
      <w:r>
        <w:rPr/>
        <w:t>Należy wybrać odpowiedni zakres Przedmiotu Umowy z listy znajdującej się w tabeli poprzez zaznaczenie w kwadraciku „X” z danym elementem Przedmiotu Umowy.</w:t>
      </w:r>
    </w:p>
  </w:footnote>
  <w:footnote w:id="9">
    <w:p>
      <w:pPr>
        <w:pStyle w:val="Przypisdolny"/>
        <w:rPr/>
      </w:pPr>
      <w:r>
        <w:rPr>
          <w:rStyle w:val="Znakiprzypiswdolnych"/>
        </w:rPr>
        <w:footnoteRef/>
      </w:r>
      <w:r>
        <w:rPr/>
        <w:t xml:space="preserve"> </w:t>
      </w:r>
      <w:r>
        <w:rPr/>
        <w:t>Niepotrzebne skreślić.</w:t>
      </w:r>
    </w:p>
  </w:footnote>
  <w:footnote w:id="10">
    <w:p>
      <w:pPr>
        <w:pStyle w:val="Przypisdolny"/>
        <w:rPr/>
      </w:pPr>
      <w:r>
        <w:rPr>
          <w:rStyle w:val="Znakiprzypiswdolnych"/>
        </w:rPr>
        <w:footnoteRef/>
      </w:r>
      <w:r>
        <w:rPr/>
        <w:t xml:space="preserve"> </w:t>
      </w:r>
      <w:r>
        <w:rPr/>
        <w:t>Strony mogą uzupełnić obowiązki Zamawiającego i Wykonawcy, które mają gwarantować należyte wykonania umowy</w:t>
      </w:r>
    </w:p>
  </w:footnote>
  <w:footnote w:id="11">
    <w:p>
      <w:pPr>
        <w:pStyle w:val="Przypisdolny"/>
        <w:rPr/>
      </w:pPr>
      <w:r>
        <w:rPr>
          <w:rStyle w:val="Znakiprzypiswdolnych"/>
        </w:rPr>
        <w:footnoteRef/>
      </w:r>
      <w:r>
        <w:rPr/>
        <w:t xml:space="preserve"> </w:t>
      </w:r>
      <w:r>
        <w:rPr/>
        <w:t xml:space="preserve">Pierwsza transza wynagrodzenia (zaliczka) zostanie wypłacona </w:t>
      </w:r>
      <w:r>
        <w:rPr>
          <w:rFonts w:cs="Calibri" w:cstheme="minorHAnsi"/>
        </w:rPr>
        <w:t>w terminie do 14 dni od daty zawarcia umowy dotacji lecz nie wcześniej niż 14 dni przed datą rozpoczęcia realizacji Przedmiotu Umowy</w:t>
      </w:r>
    </w:p>
  </w:footnote>
  <w:footnote w:id="12">
    <w:p>
      <w:pPr>
        <w:pStyle w:val="Przypisdolny"/>
        <w:rPr/>
      </w:pPr>
      <w:r>
        <w:rPr>
          <w:rStyle w:val="Znakiprzypiswdolnych"/>
        </w:rPr>
        <w:footnoteRef/>
      </w:r>
      <w:r>
        <w:rPr/>
        <w:t xml:space="preserve"> </w:t>
      </w:r>
      <w:r>
        <w:rPr/>
        <w:t>Skreślić jeżeli usługa nie będzie oferowana w pakiecie.</w:t>
      </w:r>
    </w:p>
  </w:footnote>
  <w:footnote w:id="13">
    <w:p>
      <w:pPr>
        <w:pStyle w:val="Przypisdolny"/>
        <w:rPr/>
      </w:pPr>
      <w:r>
        <w:rPr>
          <w:rStyle w:val="Znakiprzypiswdolnych"/>
        </w:rPr>
        <w:footnoteRef/>
      </w:r>
      <w:r>
        <w:rPr/>
        <w:t xml:space="preserve"> </w:t>
      </w:r>
      <w:r>
        <w:rPr/>
        <w:t>Do ustalenia między stronami.</w:t>
      </w:r>
    </w:p>
  </w:footnote>
  <w:footnote w:id="14">
    <w:p>
      <w:pPr>
        <w:pStyle w:val="Przypisdolny"/>
        <w:rPr/>
      </w:pPr>
      <w:r>
        <w:rPr>
          <w:rStyle w:val="Znakiprzypiswdolnych"/>
        </w:rPr>
        <w:footnoteRef/>
      </w:r>
      <w:r>
        <w:rPr/>
        <w:t xml:space="preserve"> </w:t>
      </w:r>
      <w:r>
        <w:rPr/>
        <w:t>Strony mogą uzgodnić katalog możliwych przypadków naruszenia Umowy, skutkujących naliczaniem kar umownych.</w:t>
      </w:r>
    </w:p>
  </w:footnote>
  <w:footnote w:id="15">
    <w:p>
      <w:pPr>
        <w:pStyle w:val="Przypisdolny"/>
        <w:rPr/>
      </w:pPr>
      <w:r>
        <w:rPr>
          <w:rStyle w:val="Znakiprzypiswdolnych"/>
        </w:rPr>
        <w:footnoteRef/>
      </w:r>
      <w:r>
        <w:rPr/>
        <w:t xml:space="preserve"> </w:t>
      </w:r>
      <w:r>
        <w:rPr/>
        <w:t>Należy wskazać imię i nazwisko; uzupełnić również w przypadku pełnomocnika/ operatora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0" w:after="200"/>
      <w:jc w:val="center"/>
      <w:rPr/>
    </w:pPr>
    <w:r>
      <w:rPr/>
      <w:t>WZÓR UMOWY Z WYKONAWCĄ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lowerLetter"/>
      <w:lvlText w:val="%2)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lowerLetter"/>
      <w:lvlText w:val="%2)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lowerLetter"/>
      <w:lvlText w:val="%2)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8"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/>
    </w:lvl>
    <w:lvl w:ilvl="1">
      <w:start w:val="1"/>
      <w:numFmt w:val="lowerLetter"/>
      <w:lvlText w:val="%2)"/>
      <w:lvlJc w:val="left"/>
      <w:pPr>
        <w:tabs>
          <w:tab w:val="num" w:pos="0"/>
        </w:tabs>
        <w:ind w:left="180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  <w:rPr/>
    </w:lvl>
  </w:abstractNum>
  <w:abstractNum w:abstractNumId="9">
    <w:lvl w:ilvl="0">
      <w:start w:val="2"/>
      <w:numFmt w:val="decimal"/>
      <w:lvlText w:val="§ %1."/>
      <w:lvlJc w:val="left"/>
      <w:pPr>
        <w:tabs>
          <w:tab w:val="num" w:pos="0"/>
        </w:tabs>
        <w:ind w:left="3763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4843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5563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6283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7003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7723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8443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9163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9883" w:hanging="180"/>
      </w:pPr>
      <w:rPr/>
    </w:lvl>
  </w:abstractNum>
  <w:abstractNum w:abstractNumId="10">
    <w:lvl w:ilvl="0">
      <w:start w:val="1"/>
      <w:numFmt w:val="decimal"/>
      <w:lvlText w:val="%1)"/>
      <w:lvlJc w:val="left"/>
      <w:pPr>
        <w:tabs>
          <w:tab w:val="num" w:pos="0"/>
        </w:tabs>
        <w:ind w:left="283" w:hanging="0"/>
      </w:pPr>
      <w:rPr>
        <w:dstrike w:val="false"/>
        <w:strike w:val="false"/>
        <w:vertAlign w:val="baseline"/>
        <w:position w:val="0"/>
        <w:sz w:val="20"/>
        <w:sz w:val="20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08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80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2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4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6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8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40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20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auto" w:val="clear"/>
        <w:szCs w:val="22"/>
        <w:rFonts w:ascii="Calibri" w:hAnsi="Calibri" w:eastAsia="Calibri" w:cs="Calibri"/>
        <w:color w:val="000000"/>
      </w:rPr>
    </w:lvl>
  </w:abstractNum>
  <w:abstractNum w:abstractNumId="1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277c7"/>
    <w:pPr>
      <w:widowControl/>
      <w:bidi w:val="0"/>
      <w:spacing w:lineRule="auto" w:line="276" w:before="0" w:after="200"/>
      <w:jc w:val="both"/>
    </w:pPr>
    <w:rPr>
      <w:rFonts w:ascii="Calibri" w:hAnsi="Calibri" w:eastAsia="SimSun" w:cs="Times New Roman" w:ascii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uiPriority w:val="99"/>
    <w:qFormat/>
    <w:rsid w:val="005553f5"/>
    <w:rPr>
      <w:rFonts w:ascii="Calibri" w:hAnsi="Calibri" w:eastAsia="SimSun" w:cs="Times New Roman"/>
    </w:rPr>
  </w:style>
  <w:style w:type="character" w:styleId="StopkaZnak" w:customStyle="1">
    <w:name w:val="Stopka Znak"/>
    <w:basedOn w:val="DefaultParagraphFont"/>
    <w:uiPriority w:val="99"/>
    <w:qFormat/>
    <w:rsid w:val="005553f5"/>
    <w:rPr>
      <w:rFonts w:ascii="Calibri" w:hAnsi="Calibri" w:eastAsia="SimSun" w:cs="Times New Roman"/>
    </w:rPr>
  </w:style>
  <w:style w:type="character" w:styleId="ZwykytekstZnak" w:customStyle="1">
    <w:name w:val="Zwykły tekst Znak"/>
    <w:basedOn w:val="DefaultParagraphFont"/>
    <w:link w:val="PlainText"/>
    <w:qFormat/>
    <w:rsid w:val="001d7b95"/>
    <w:rPr>
      <w:rFonts w:ascii="Courier New" w:hAnsi="Courier New" w:eastAsia="Times New Roman" w:cs="Batang"/>
      <w:sz w:val="20"/>
      <w:szCs w:val="20"/>
      <w:lang w:eastAsia="pl-PL"/>
    </w:rPr>
  </w:style>
  <w:style w:type="character" w:styleId="TekstprzypisudolnegoZnak" w:customStyle="1">
    <w:name w:val="Tekst przypisu dolnego Znak"/>
    <w:basedOn w:val="DefaultParagraphFont"/>
    <w:uiPriority w:val="99"/>
    <w:semiHidden/>
    <w:qFormat/>
    <w:rsid w:val="00617f6c"/>
    <w:rPr>
      <w:rFonts w:ascii="Calibri" w:hAnsi="Calibri" w:eastAsia="SimSun" w:cs="Times New Roman"/>
      <w:sz w:val="20"/>
      <w:szCs w:val="20"/>
    </w:rPr>
  </w:style>
  <w:style w:type="character" w:styleId="Znakiprzypiswdolnych">
    <w:name w:val="Znaki przypisów dolnych"/>
    <w:basedOn w:val="DefaultParagraphFont"/>
    <w:uiPriority w:val="99"/>
    <w:semiHidden/>
    <w:unhideWhenUsed/>
    <w:qFormat/>
    <w:rsid w:val="00617f6c"/>
    <w:rPr>
      <w:vertAlign w:val="superscript"/>
    </w:rPr>
  </w:style>
  <w:style w:type="character" w:styleId="Zakotwiczenieprzypisudolnego">
    <w:name w:val="Footnote Reference"/>
    <w:rPr>
      <w:vertAlign w:val="superscript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073b70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Annotationtext"/>
    <w:uiPriority w:val="99"/>
    <w:qFormat/>
    <w:rsid w:val="00073b70"/>
    <w:rPr>
      <w:rFonts w:ascii="Calibri" w:hAnsi="Calibri" w:eastAsia="SimSun" w:cs="Times New Roman"/>
      <w:sz w:val="20"/>
      <w:szCs w:val="20"/>
    </w:rPr>
  </w:style>
  <w:style w:type="character" w:styleId="TematkomentarzaZnak" w:customStyle="1">
    <w:name w:val="Temat komentarza Znak"/>
    <w:basedOn w:val="TekstkomentarzaZnak"/>
    <w:link w:val="Annotationsubject"/>
    <w:uiPriority w:val="99"/>
    <w:semiHidden/>
    <w:qFormat/>
    <w:rsid w:val="00073b70"/>
    <w:rPr>
      <w:rFonts w:ascii="Calibri" w:hAnsi="Calibri" w:eastAsia="SimSun" w:cs="Times New Roman"/>
      <w:b/>
      <w:bCs/>
      <w:sz w:val="20"/>
      <w:szCs w:val="20"/>
    </w:rPr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073b70"/>
    <w:rPr>
      <w:rFonts w:ascii="Segoe UI" w:hAnsi="Segoe UI" w:eastAsia="SimSun" w:cs="Segoe UI"/>
      <w:sz w:val="18"/>
      <w:szCs w:val="18"/>
    </w:rPr>
  </w:style>
  <w:style w:type="character" w:styleId="Markedcontent" w:customStyle="1">
    <w:name w:val="markedcontent"/>
    <w:basedOn w:val="DefaultParagraphFont"/>
    <w:qFormat/>
    <w:rsid w:val="006a0c77"/>
    <w:rPr/>
  </w:style>
  <w:style w:type="character" w:styleId="Highlight" w:customStyle="1">
    <w:name w:val="highlight"/>
    <w:basedOn w:val="DefaultParagraphFont"/>
    <w:qFormat/>
    <w:rsid w:val="006a0c77"/>
    <w:rPr/>
  </w:style>
  <w:style w:type="character" w:styleId="Strong">
    <w:name w:val="Strong"/>
    <w:basedOn w:val="DefaultParagraphFont"/>
    <w:uiPriority w:val="22"/>
    <w:qFormat/>
    <w:rsid w:val="00361d0d"/>
    <w:rPr>
      <w:b/>
      <w:bCs/>
    </w:rPr>
  </w:style>
  <w:style w:type="character" w:styleId="TekstprzypisukocowegoZnak" w:customStyle="1">
    <w:name w:val="Tekst przypisu końcowego Znak"/>
    <w:basedOn w:val="DefaultParagraphFont"/>
    <w:uiPriority w:val="99"/>
    <w:semiHidden/>
    <w:qFormat/>
    <w:rsid w:val="00747114"/>
    <w:rPr>
      <w:rFonts w:ascii="Calibri" w:hAnsi="Calibri" w:eastAsia="SimSun" w:cs="Times New Roman"/>
      <w:sz w:val="20"/>
      <w:szCs w:val="20"/>
    </w:rPr>
  </w:style>
  <w:style w:type="character" w:styleId="Znakiprzypiswkocowych">
    <w:name w:val="Znaki przypisów końcowych"/>
    <w:basedOn w:val="DefaultParagraphFont"/>
    <w:uiPriority w:val="99"/>
    <w:semiHidden/>
    <w:unhideWhenUsed/>
    <w:qFormat/>
    <w:rsid w:val="00747114"/>
    <w:rPr>
      <w:vertAlign w:val="superscript"/>
    </w:rPr>
  </w:style>
  <w:style w:type="character" w:styleId="Zakotwiczenieprzypisukocowego">
    <w:name w:val="Endnote Reference"/>
    <w:rPr>
      <w:vertAlign w:val="superscript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unhideWhenUsed/>
    <w:rsid w:val="005553f5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5553f5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PlainText">
    <w:name w:val="Plain Text"/>
    <w:basedOn w:val="Normal"/>
    <w:link w:val="ZwykytekstZnak"/>
    <w:qFormat/>
    <w:rsid w:val="001d7b95"/>
    <w:pPr>
      <w:spacing w:lineRule="auto" w:line="240" w:before="0" w:after="0"/>
      <w:jc w:val="left"/>
    </w:pPr>
    <w:rPr>
      <w:rFonts w:ascii="Courier New" w:hAnsi="Courier New" w:eastAsia="Times New Roman" w:cs="Batang"/>
      <w:sz w:val="20"/>
      <w:szCs w:val="20"/>
      <w:lang w:eastAsia="pl-PL"/>
    </w:rPr>
  </w:style>
  <w:style w:type="paragraph" w:styleId="Przypisdolny">
    <w:name w:val="Footnote Text"/>
    <w:basedOn w:val="Normal"/>
    <w:link w:val="TekstprzypisudolnegoZnak"/>
    <w:uiPriority w:val="99"/>
    <w:semiHidden/>
    <w:unhideWhenUsed/>
    <w:rsid w:val="00617f6c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4f749e"/>
    <w:pPr>
      <w:spacing w:before="0" w:after="200"/>
      <w:ind w:left="720" w:hanging="0"/>
      <w:contextualSpacing/>
    </w:pPr>
    <w:rPr/>
  </w:style>
  <w:style w:type="paragraph" w:styleId="Annotationtext">
    <w:name w:val="annotation text"/>
    <w:basedOn w:val="Normal"/>
    <w:link w:val="TekstkomentarzaZnak"/>
    <w:uiPriority w:val="99"/>
    <w:unhideWhenUsed/>
    <w:qFormat/>
    <w:rsid w:val="00073b70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073b70"/>
    <w:pPr/>
    <w:rPr>
      <w:b/>
      <w:bCs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073b70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ZnakZnak" w:customStyle="1">
    <w:name w:val="Znak Znak"/>
    <w:basedOn w:val="Normal"/>
    <w:qFormat/>
    <w:rsid w:val="00645d4d"/>
    <w:pPr>
      <w:spacing w:lineRule="exact" w:line="240" w:before="0" w:after="160"/>
      <w:jc w:val="left"/>
    </w:pPr>
    <w:rPr>
      <w:rFonts w:ascii="Tahoma" w:hAnsi="Tahoma" w:eastAsia="Times New Roman"/>
      <w:sz w:val="20"/>
      <w:szCs w:val="20"/>
      <w:lang w:val="en-US"/>
    </w:rPr>
  </w:style>
  <w:style w:type="paragraph" w:styleId="Revision">
    <w:name w:val="Revision"/>
    <w:uiPriority w:val="99"/>
    <w:semiHidden/>
    <w:qFormat/>
    <w:rsid w:val="00a329a7"/>
    <w:pPr>
      <w:widowControl/>
      <w:bidi w:val="0"/>
      <w:spacing w:lineRule="auto" w:line="240" w:before="0" w:after="0"/>
      <w:jc w:val="left"/>
    </w:pPr>
    <w:rPr>
      <w:rFonts w:ascii="Calibri" w:hAnsi="Calibri" w:eastAsia="SimSun" w:cs="Times New Roman" w:ascii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Przypiskocowy">
    <w:name w:val="Endnote Text"/>
    <w:basedOn w:val="Normal"/>
    <w:link w:val="TekstprzypisukocowegoZnak"/>
    <w:uiPriority w:val="99"/>
    <w:semiHidden/>
    <w:unhideWhenUsed/>
    <w:rsid w:val="00747114"/>
    <w:pPr>
      <w:spacing w:lineRule="auto" w:line="240" w:before="0" w:after="0"/>
    </w:pPr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6c2111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2.png"/><Relationship Id="rId5" Type="http://schemas.openxmlformats.org/officeDocument/2006/relationships/image" Target="media/image2.png"/><Relationship Id="rId6" Type="http://schemas.openxmlformats.org/officeDocument/2006/relationships/image" Target="media/image2.png"/><Relationship Id="rId7" Type="http://schemas.openxmlformats.org/officeDocument/2006/relationships/image" Target="media/image2.png"/><Relationship Id="rId8" Type="http://schemas.openxmlformats.org/officeDocument/2006/relationships/image" Target="media/image2.png"/><Relationship Id="rId9" Type="http://schemas.openxmlformats.org/officeDocument/2006/relationships/image" Target="media/image2.png"/><Relationship Id="rId10" Type="http://schemas.openxmlformats.org/officeDocument/2006/relationships/image" Target="media/image2.png"/><Relationship Id="rId11" Type="http://schemas.openxmlformats.org/officeDocument/2006/relationships/image" Target="media/image2.png"/><Relationship Id="rId12" Type="http://schemas.openxmlformats.org/officeDocument/2006/relationships/image" Target="media/image2.png"/><Relationship Id="rId13" Type="http://schemas.openxmlformats.org/officeDocument/2006/relationships/image" Target="media/image2.png"/><Relationship Id="rId14" Type="http://schemas.openxmlformats.org/officeDocument/2006/relationships/image" Target="media/image2.png"/><Relationship Id="rId15" Type="http://schemas.openxmlformats.org/officeDocument/2006/relationships/image" Target="media/image2.png"/><Relationship Id="rId16" Type="http://schemas.openxmlformats.org/officeDocument/2006/relationships/image" Target="media/image2.png"/><Relationship Id="rId17" Type="http://schemas.openxmlformats.org/officeDocument/2006/relationships/image" Target="media/image2.png"/><Relationship Id="rId18" Type="http://schemas.openxmlformats.org/officeDocument/2006/relationships/image" Target="media/image2.png"/><Relationship Id="rId19" Type="http://schemas.openxmlformats.org/officeDocument/2006/relationships/image" Target="media/image2.png"/><Relationship Id="rId20" Type="http://schemas.openxmlformats.org/officeDocument/2006/relationships/image" Target="media/image2.png"/><Relationship Id="rId21" Type="http://schemas.openxmlformats.org/officeDocument/2006/relationships/image" Target="media/image2.png"/><Relationship Id="rId22" Type="http://schemas.openxmlformats.org/officeDocument/2006/relationships/image" Target="media/image2.png"/><Relationship Id="rId23" Type="http://schemas.openxmlformats.org/officeDocument/2006/relationships/image" Target="media/image2.png"/><Relationship Id="rId24" Type="http://schemas.openxmlformats.org/officeDocument/2006/relationships/header" Target="header1.xml"/><Relationship Id="rId25" Type="http://schemas.openxmlformats.org/officeDocument/2006/relationships/footer" Target="footer1.xml"/><Relationship Id="rId26" Type="http://schemas.openxmlformats.org/officeDocument/2006/relationships/footnotes" Target="footnotes.xml"/><Relationship Id="rId27" Type="http://schemas.openxmlformats.org/officeDocument/2006/relationships/numbering" Target="numbering.xml"/><Relationship Id="rId28" Type="http://schemas.openxmlformats.org/officeDocument/2006/relationships/fontTable" Target="fontTable.xml"/><Relationship Id="rId29" Type="http://schemas.openxmlformats.org/officeDocument/2006/relationships/settings" Target="settings.xml"/><Relationship Id="rId30" Type="http://schemas.openxmlformats.org/officeDocument/2006/relationships/theme" Target="theme/theme1.xml"/><Relationship Id="rId31" Type="http://schemas.openxmlformats.org/officeDocument/2006/relationships/customXml" Target="../customXml/item1.xml"/><Relationship Id="rId32" Type="http://schemas.openxmlformats.org/officeDocument/2006/relationships/customXml" Target="../customXml/item2.xml"/><Relationship Id="rId33" Type="http://schemas.openxmlformats.org/officeDocument/2006/relationships/customXml" Target="../customXml/item3.xml"/><Relationship Id="rId34" Type="http://schemas.openxmlformats.org/officeDocument/2006/relationships/customXml" Target="../customXml/item4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F1C79B20605384A8D5987BA138D3A94" ma:contentTypeVersion="10" ma:contentTypeDescription="Utwórz nowy dokument." ma:contentTypeScope="" ma:versionID="7a78dc92bbbc482183c3ecad979c5275">
  <xsd:schema xmlns:xsd="http://www.w3.org/2001/XMLSchema" xmlns:xs="http://www.w3.org/2001/XMLSchema" xmlns:p="http://schemas.microsoft.com/office/2006/metadata/properties" xmlns:ns3="79bc7cc1-833d-4385-9253-53105884dc38" xmlns:ns4="a6a8c26f-bc29-441f-9024-368babe6fe99" targetNamespace="http://schemas.microsoft.com/office/2006/metadata/properties" ma:root="true" ma:fieldsID="bade4e0e379650f869cfc089adb3fb4a" ns3:_="" ns4:_="">
    <xsd:import namespace="79bc7cc1-833d-4385-9253-53105884dc38"/>
    <xsd:import namespace="a6a8c26f-bc29-441f-9024-368babe6fe9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bc7cc1-833d-4385-9253-53105884dc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a8c26f-bc29-441f-9024-368babe6fe9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139913-7FC4-46C9-855B-3350C9AA3B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bc7cc1-833d-4385-9253-53105884dc38"/>
    <ds:schemaRef ds:uri="a6a8c26f-bc29-441f-9024-368babe6fe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525B52B-064E-48B0-9AD2-09EEC129DA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91515B-3D6A-4C16-BD9B-7A405A0C36F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9197CB8-7D0A-4449-B59D-98D0A8A8C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LibreOffice/7.5.3.2$Windows_X86_64 LibreOffice_project/9f56dff12ba03b9acd7730a5a481eea045e468f3</Application>
  <AppVersion>15.0000</AppVersion>
  <Pages>10</Pages>
  <Words>3230</Words>
  <Characters>23020</Characters>
  <CharactersWithSpaces>26104</CharactersWithSpaces>
  <Paragraphs>199</Paragraphs>
  <Company>NFOSiGW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2022-12-15T13:35:00Z</dcterms:created>
  <dc:creator>Piotr Skobel, Dorota Fijałkowska</dc:creator>
  <dc:description/>
  <dc:language>pl-PL</dc:language>
  <cp:lastModifiedBy/>
  <cp:lastPrinted>2022-12-29T10:45:00Z</cp:lastPrinted>
  <dcterms:modified xsi:type="dcterms:W3CDTF">2023-09-19T10:12:32Z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0x0101006F1C79B20605384A8D5987BA138D3A94</vt:lpwstr>
  </property>
</Properties>
</file>